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19E3" w14:textId="77777777" w:rsidR="00E97750" w:rsidRDefault="00D84597" w:rsidP="00C34702">
      <w:pPr>
        <w:ind w:left="927"/>
        <w:jc w:val="center"/>
        <w:rPr>
          <w:rFonts w:ascii="Times New Roman" w:hAnsi="Times New Roman"/>
          <w:b/>
          <w:bCs/>
          <w:sz w:val="28"/>
          <w:szCs w:val="28"/>
        </w:rPr>
      </w:pPr>
      <w:r w:rsidRPr="00D84597">
        <w:rPr>
          <w:rFonts w:ascii="Times New Roman" w:hAnsi="Times New Roman"/>
          <w:b/>
          <w:bCs/>
          <w:sz w:val="28"/>
          <w:szCs w:val="28"/>
        </w:rPr>
        <w:t>Отчет о результатах мониторинга качества финансового менеджмента главного администратора средств бюджета муниципального образования «Муринское городское поселение» Всеволожского муниципального района Ленинградской области за 202</w:t>
      </w:r>
      <w:r w:rsidR="00DB6A73">
        <w:rPr>
          <w:rFonts w:ascii="Times New Roman" w:hAnsi="Times New Roman"/>
          <w:b/>
          <w:bCs/>
          <w:sz w:val="28"/>
          <w:szCs w:val="28"/>
        </w:rPr>
        <w:t>2</w:t>
      </w:r>
      <w:r w:rsidRPr="00D84597">
        <w:rPr>
          <w:rFonts w:ascii="Times New Roman" w:hAnsi="Times New Roman"/>
          <w:b/>
          <w:bCs/>
          <w:sz w:val="28"/>
          <w:szCs w:val="28"/>
        </w:rPr>
        <w:t xml:space="preserve"> год.</w:t>
      </w:r>
    </w:p>
    <w:p w14:paraId="4B76FE78" w14:textId="77777777" w:rsidR="00D84597" w:rsidRDefault="00D84597" w:rsidP="00C34702">
      <w:pPr>
        <w:ind w:firstLine="709"/>
        <w:jc w:val="both"/>
        <w:rPr>
          <w:rFonts w:ascii="Times New Roman" w:hAnsi="Times New Roman"/>
          <w:sz w:val="28"/>
          <w:szCs w:val="28"/>
        </w:rPr>
      </w:pPr>
      <w:r w:rsidRPr="00D84597">
        <w:rPr>
          <w:rFonts w:ascii="Times New Roman" w:hAnsi="Times New Roman"/>
          <w:sz w:val="28"/>
          <w:szCs w:val="28"/>
        </w:rPr>
        <w:t>Отделом финансового управления</w:t>
      </w:r>
      <w:r>
        <w:rPr>
          <w:rFonts w:ascii="Times New Roman" w:hAnsi="Times New Roman"/>
          <w:sz w:val="28"/>
          <w:szCs w:val="28"/>
        </w:rPr>
        <w:t xml:space="preserve"> администрации муниципального образования «Муринское городское поселение» Всеволожского муниципального района Ленинградской области в соответствии со статьей 160.2-1 Бюджетного кодекса Российской Федерации проведен мониторинг качества финансового менеджмента администрации муниципального образования «Муринское городское поселение» Всеволожского муниципального района Ленинградской области за 202</w:t>
      </w:r>
      <w:r w:rsidR="00453ED8">
        <w:rPr>
          <w:rFonts w:ascii="Times New Roman" w:hAnsi="Times New Roman"/>
          <w:sz w:val="28"/>
          <w:szCs w:val="28"/>
        </w:rPr>
        <w:t>2</w:t>
      </w:r>
      <w:r>
        <w:rPr>
          <w:rFonts w:ascii="Times New Roman" w:hAnsi="Times New Roman"/>
          <w:sz w:val="28"/>
          <w:szCs w:val="28"/>
        </w:rPr>
        <w:t>.</w:t>
      </w:r>
    </w:p>
    <w:p w14:paraId="2F0D15BD" w14:textId="77777777" w:rsidR="00D84597" w:rsidRDefault="00D84597" w:rsidP="00C34702">
      <w:pPr>
        <w:ind w:firstLine="709"/>
        <w:jc w:val="both"/>
        <w:rPr>
          <w:rFonts w:ascii="Times New Roman" w:hAnsi="Times New Roman"/>
          <w:sz w:val="28"/>
          <w:szCs w:val="28"/>
        </w:rPr>
      </w:pPr>
      <w:r>
        <w:rPr>
          <w:rFonts w:ascii="Times New Roman" w:hAnsi="Times New Roman"/>
          <w:sz w:val="28"/>
          <w:szCs w:val="28"/>
        </w:rPr>
        <w:t xml:space="preserve">По итогам проведенного мониторинга администрации муниципального образования «Муринское городское поселение» Всеволожского муниципального района Ленинградской области как главному администратору средств бюджета муниципального образования «Муринское городское поселение» Всеволожского муниципального района Ленинградской области была присвоена </w:t>
      </w:r>
      <w:r>
        <w:rPr>
          <w:rFonts w:ascii="Times New Roman" w:hAnsi="Times New Roman"/>
          <w:sz w:val="28"/>
          <w:szCs w:val="28"/>
          <w:lang w:val="en-US"/>
        </w:rPr>
        <w:t>I</w:t>
      </w:r>
      <w:r>
        <w:rPr>
          <w:rFonts w:ascii="Times New Roman" w:hAnsi="Times New Roman"/>
          <w:sz w:val="28"/>
          <w:szCs w:val="28"/>
        </w:rPr>
        <w:t xml:space="preserve"> степень качества финансового менеджмента (таблица 1), что соответствует высокому качеству финансового менеджмента.</w:t>
      </w:r>
    </w:p>
    <w:p w14:paraId="2407CCD4" w14:textId="77777777" w:rsidR="006B5EE6" w:rsidRDefault="006B5EE6" w:rsidP="00C34702">
      <w:pPr>
        <w:ind w:firstLine="709"/>
        <w:jc w:val="both"/>
        <w:rPr>
          <w:rFonts w:ascii="Times New Roman" w:hAnsi="Times New Roman"/>
          <w:sz w:val="28"/>
          <w:szCs w:val="28"/>
        </w:rPr>
      </w:pPr>
    </w:p>
    <w:p w14:paraId="5A499A56" w14:textId="77777777" w:rsidR="00D84597" w:rsidRDefault="00D84597" w:rsidP="00C34702">
      <w:pPr>
        <w:ind w:hanging="284"/>
        <w:jc w:val="center"/>
        <w:rPr>
          <w:rFonts w:ascii="Times New Roman" w:hAnsi="Times New Roman"/>
          <w:sz w:val="28"/>
          <w:szCs w:val="28"/>
        </w:rPr>
      </w:pPr>
      <w:r>
        <w:rPr>
          <w:rFonts w:ascii="Times New Roman" w:hAnsi="Times New Roman"/>
          <w:sz w:val="28"/>
          <w:szCs w:val="28"/>
        </w:rPr>
        <w:t>Таблица 1. Интегральная оценка качества финансового менеджмента ГАБС</w:t>
      </w:r>
      <w:r w:rsidR="005F2D54">
        <w:rPr>
          <w:rFonts w:ascii="Times New Roman" w:hAnsi="Times New Roman"/>
          <w:sz w:val="28"/>
          <w:szCs w:val="28"/>
        </w:rPr>
        <w:t>.</w:t>
      </w:r>
    </w:p>
    <w:p w14:paraId="54B2AD5B" w14:textId="77777777" w:rsidR="007F10E5" w:rsidRDefault="007F10E5" w:rsidP="00C34702">
      <w:pPr>
        <w:ind w:hanging="284"/>
        <w:jc w:val="center"/>
        <w:rPr>
          <w:rFonts w:ascii="Times New Roman" w:hAnsi="Times New Roman"/>
          <w:sz w:val="28"/>
          <w:szCs w:val="28"/>
        </w:rPr>
      </w:pPr>
    </w:p>
    <w:tbl>
      <w:tblPr>
        <w:tblStyle w:val="a4"/>
        <w:tblW w:w="9923" w:type="dxa"/>
        <w:tblInd w:w="108" w:type="dxa"/>
        <w:tblLook w:val="04A0" w:firstRow="1" w:lastRow="0" w:firstColumn="1" w:lastColumn="0" w:noHBand="0" w:noVBand="1"/>
      </w:tblPr>
      <w:tblGrid>
        <w:gridCol w:w="4962"/>
        <w:gridCol w:w="1559"/>
        <w:gridCol w:w="1984"/>
        <w:gridCol w:w="1418"/>
      </w:tblGrid>
      <w:tr w:rsidR="005F2D54" w:rsidRPr="005F2D54" w14:paraId="14E6DA5A" w14:textId="77777777" w:rsidTr="00C34702">
        <w:tc>
          <w:tcPr>
            <w:tcW w:w="4962" w:type="dxa"/>
            <w:vMerge w:val="restart"/>
          </w:tcPr>
          <w:p w14:paraId="65B16D46" w14:textId="77777777" w:rsidR="005F2D54" w:rsidRPr="005F2D54" w:rsidRDefault="005F2D54" w:rsidP="005F2D54">
            <w:pPr>
              <w:jc w:val="center"/>
              <w:rPr>
                <w:rFonts w:ascii="Times New Roman" w:hAnsi="Times New Roman"/>
                <w:sz w:val="24"/>
                <w:szCs w:val="24"/>
              </w:rPr>
            </w:pPr>
            <w:r w:rsidRPr="005F2D54">
              <w:rPr>
                <w:rFonts w:ascii="Times New Roman" w:hAnsi="Times New Roman"/>
                <w:sz w:val="24"/>
                <w:szCs w:val="24"/>
              </w:rPr>
              <w:t>ГАБС</w:t>
            </w:r>
          </w:p>
        </w:tc>
        <w:tc>
          <w:tcPr>
            <w:tcW w:w="4961" w:type="dxa"/>
            <w:gridSpan w:val="3"/>
          </w:tcPr>
          <w:p w14:paraId="62BA01E0" w14:textId="77777777" w:rsidR="005F2D54" w:rsidRPr="005F2D54" w:rsidRDefault="005F2D54" w:rsidP="005F2D54">
            <w:pPr>
              <w:jc w:val="center"/>
              <w:rPr>
                <w:rFonts w:ascii="Times New Roman" w:hAnsi="Times New Roman"/>
                <w:sz w:val="24"/>
                <w:szCs w:val="24"/>
              </w:rPr>
            </w:pPr>
            <w:r w:rsidRPr="005F2D54">
              <w:rPr>
                <w:rFonts w:ascii="Times New Roman" w:hAnsi="Times New Roman"/>
                <w:sz w:val="24"/>
                <w:szCs w:val="24"/>
              </w:rPr>
              <w:t>Интегральная оценка, баллов</w:t>
            </w:r>
          </w:p>
        </w:tc>
      </w:tr>
      <w:tr w:rsidR="005F2D54" w:rsidRPr="005F2D54" w14:paraId="1D5F5D2D" w14:textId="77777777" w:rsidTr="00C34702">
        <w:tc>
          <w:tcPr>
            <w:tcW w:w="4962" w:type="dxa"/>
            <w:vMerge/>
          </w:tcPr>
          <w:p w14:paraId="7753585A" w14:textId="77777777" w:rsidR="005F2D54" w:rsidRPr="005F2D54" w:rsidRDefault="005F2D54" w:rsidP="005F2D54">
            <w:pPr>
              <w:jc w:val="center"/>
              <w:rPr>
                <w:rFonts w:ascii="Times New Roman" w:hAnsi="Times New Roman"/>
                <w:sz w:val="24"/>
                <w:szCs w:val="24"/>
              </w:rPr>
            </w:pPr>
          </w:p>
        </w:tc>
        <w:tc>
          <w:tcPr>
            <w:tcW w:w="1559" w:type="dxa"/>
          </w:tcPr>
          <w:p w14:paraId="53717499" w14:textId="77777777" w:rsidR="005F2D54" w:rsidRPr="005F2D54" w:rsidRDefault="005F2D54" w:rsidP="005F2D54">
            <w:pPr>
              <w:jc w:val="center"/>
              <w:rPr>
                <w:rFonts w:ascii="Times New Roman" w:hAnsi="Times New Roman"/>
                <w:sz w:val="24"/>
                <w:szCs w:val="24"/>
              </w:rPr>
            </w:pPr>
            <w:r w:rsidRPr="005F2D54">
              <w:rPr>
                <w:rFonts w:ascii="Times New Roman" w:hAnsi="Times New Roman"/>
                <w:sz w:val="24"/>
                <w:szCs w:val="24"/>
              </w:rPr>
              <w:t>Отчетный год 202</w:t>
            </w:r>
            <w:r w:rsidR="00DB6A73">
              <w:rPr>
                <w:rFonts w:ascii="Times New Roman" w:hAnsi="Times New Roman"/>
                <w:sz w:val="24"/>
                <w:szCs w:val="24"/>
              </w:rPr>
              <w:t>2</w:t>
            </w:r>
            <w:r w:rsidRPr="005F2D54">
              <w:rPr>
                <w:rFonts w:ascii="Times New Roman" w:hAnsi="Times New Roman"/>
                <w:sz w:val="24"/>
                <w:szCs w:val="24"/>
              </w:rPr>
              <w:t xml:space="preserve"> год</w:t>
            </w:r>
          </w:p>
        </w:tc>
        <w:tc>
          <w:tcPr>
            <w:tcW w:w="1984" w:type="dxa"/>
          </w:tcPr>
          <w:p w14:paraId="4292EDD2" w14:textId="77777777" w:rsidR="005F2D54" w:rsidRPr="005F2D54" w:rsidRDefault="005F2D54" w:rsidP="005F2D54">
            <w:pPr>
              <w:jc w:val="center"/>
              <w:rPr>
                <w:rFonts w:ascii="Times New Roman" w:hAnsi="Times New Roman"/>
                <w:sz w:val="24"/>
                <w:szCs w:val="24"/>
              </w:rPr>
            </w:pPr>
            <w:r w:rsidRPr="005F2D54">
              <w:rPr>
                <w:rFonts w:ascii="Times New Roman" w:hAnsi="Times New Roman"/>
                <w:sz w:val="24"/>
                <w:szCs w:val="24"/>
              </w:rPr>
              <w:t>Предыдущий год</w:t>
            </w:r>
          </w:p>
        </w:tc>
        <w:tc>
          <w:tcPr>
            <w:tcW w:w="1418" w:type="dxa"/>
          </w:tcPr>
          <w:p w14:paraId="19BA5BC5" w14:textId="77777777" w:rsidR="005F2D54" w:rsidRPr="005F2D54" w:rsidRDefault="005F2D54" w:rsidP="005F2D54">
            <w:pPr>
              <w:jc w:val="center"/>
              <w:rPr>
                <w:rFonts w:ascii="Times New Roman" w:hAnsi="Times New Roman"/>
                <w:sz w:val="24"/>
                <w:szCs w:val="24"/>
              </w:rPr>
            </w:pPr>
            <w:r w:rsidRPr="005F2D54">
              <w:rPr>
                <w:rFonts w:ascii="Times New Roman" w:hAnsi="Times New Roman"/>
                <w:sz w:val="24"/>
                <w:szCs w:val="24"/>
              </w:rPr>
              <w:t>Изменение за год</w:t>
            </w:r>
          </w:p>
        </w:tc>
      </w:tr>
      <w:tr w:rsidR="005F2D54" w:rsidRPr="005F2D54" w14:paraId="78DFD8B1" w14:textId="77777777" w:rsidTr="00C34702">
        <w:tc>
          <w:tcPr>
            <w:tcW w:w="4962" w:type="dxa"/>
          </w:tcPr>
          <w:p w14:paraId="6E863B32" w14:textId="77777777" w:rsidR="005F2D54" w:rsidRPr="005F2D54" w:rsidRDefault="005F2D54" w:rsidP="005F2D54">
            <w:pPr>
              <w:jc w:val="both"/>
              <w:rPr>
                <w:rFonts w:ascii="Times New Roman" w:hAnsi="Times New Roman"/>
                <w:sz w:val="24"/>
                <w:szCs w:val="24"/>
              </w:rPr>
            </w:pPr>
            <w:r w:rsidRPr="005F2D54">
              <w:rPr>
                <w:rFonts w:ascii="Times New Roman" w:hAnsi="Times New Roman"/>
                <w:sz w:val="24"/>
                <w:szCs w:val="24"/>
              </w:rPr>
              <w:t>администрация муниципального образования «Муринское городское поселение» Всеволожского муниципального района Ленинградской области</w:t>
            </w:r>
          </w:p>
        </w:tc>
        <w:tc>
          <w:tcPr>
            <w:tcW w:w="1559" w:type="dxa"/>
          </w:tcPr>
          <w:p w14:paraId="2E99E1AE" w14:textId="77777777" w:rsidR="005F2D54" w:rsidRPr="005F2D54" w:rsidRDefault="005F2D54" w:rsidP="005F2D54">
            <w:pPr>
              <w:jc w:val="center"/>
              <w:rPr>
                <w:rFonts w:ascii="Times New Roman" w:hAnsi="Times New Roman"/>
                <w:sz w:val="24"/>
                <w:szCs w:val="24"/>
              </w:rPr>
            </w:pPr>
            <w:r w:rsidRPr="005F2D54">
              <w:rPr>
                <w:rFonts w:ascii="Times New Roman" w:hAnsi="Times New Roman"/>
                <w:sz w:val="24"/>
                <w:szCs w:val="24"/>
              </w:rPr>
              <w:t>8</w:t>
            </w:r>
            <w:r w:rsidR="00DB6A73">
              <w:rPr>
                <w:rFonts w:ascii="Times New Roman" w:hAnsi="Times New Roman"/>
                <w:sz w:val="24"/>
                <w:szCs w:val="24"/>
              </w:rPr>
              <w:t>5</w:t>
            </w:r>
            <w:r w:rsidRPr="005F2D54">
              <w:rPr>
                <w:rFonts w:ascii="Times New Roman" w:hAnsi="Times New Roman"/>
                <w:sz w:val="24"/>
                <w:szCs w:val="24"/>
              </w:rPr>
              <w:t>,75</w:t>
            </w:r>
          </w:p>
        </w:tc>
        <w:tc>
          <w:tcPr>
            <w:tcW w:w="1984" w:type="dxa"/>
          </w:tcPr>
          <w:p w14:paraId="60739512" w14:textId="77777777" w:rsidR="005F2D54" w:rsidRPr="005F2D54" w:rsidRDefault="00DB6A73" w:rsidP="005F2D54">
            <w:pPr>
              <w:jc w:val="center"/>
              <w:rPr>
                <w:rFonts w:ascii="Times New Roman" w:hAnsi="Times New Roman"/>
                <w:sz w:val="24"/>
                <w:szCs w:val="24"/>
              </w:rPr>
            </w:pPr>
            <w:r>
              <w:rPr>
                <w:rFonts w:ascii="Times New Roman" w:hAnsi="Times New Roman"/>
                <w:sz w:val="24"/>
                <w:szCs w:val="24"/>
              </w:rPr>
              <w:t>88,75</w:t>
            </w:r>
          </w:p>
        </w:tc>
        <w:tc>
          <w:tcPr>
            <w:tcW w:w="1418" w:type="dxa"/>
          </w:tcPr>
          <w:p w14:paraId="4D2AAA9B" w14:textId="77777777" w:rsidR="005F2D54" w:rsidRPr="005F2D54" w:rsidRDefault="005F2D54" w:rsidP="005F2D54">
            <w:pPr>
              <w:jc w:val="center"/>
              <w:rPr>
                <w:rFonts w:ascii="Times New Roman" w:hAnsi="Times New Roman"/>
                <w:sz w:val="24"/>
                <w:szCs w:val="24"/>
              </w:rPr>
            </w:pPr>
            <w:r w:rsidRPr="005F2D54">
              <w:rPr>
                <w:rFonts w:ascii="Times New Roman" w:hAnsi="Times New Roman"/>
                <w:sz w:val="24"/>
                <w:szCs w:val="24"/>
              </w:rPr>
              <w:t>-</w:t>
            </w:r>
            <w:r w:rsidR="00DB6A73">
              <w:rPr>
                <w:rFonts w:ascii="Times New Roman" w:hAnsi="Times New Roman"/>
                <w:sz w:val="24"/>
                <w:szCs w:val="24"/>
              </w:rPr>
              <w:t>3</w:t>
            </w:r>
          </w:p>
        </w:tc>
      </w:tr>
      <w:tr w:rsidR="007F10E5" w:rsidRPr="005F2D54" w14:paraId="77420100" w14:textId="77777777" w:rsidTr="00C34702">
        <w:tc>
          <w:tcPr>
            <w:tcW w:w="4962" w:type="dxa"/>
          </w:tcPr>
          <w:p w14:paraId="3E88FD14" w14:textId="77777777" w:rsidR="007F10E5" w:rsidRPr="005F2D54" w:rsidRDefault="007F10E5" w:rsidP="007F10E5">
            <w:pPr>
              <w:jc w:val="both"/>
              <w:rPr>
                <w:rFonts w:ascii="Times New Roman" w:hAnsi="Times New Roman"/>
                <w:sz w:val="24"/>
                <w:szCs w:val="24"/>
              </w:rPr>
            </w:pPr>
            <w:r w:rsidRPr="007659AC">
              <w:rPr>
                <w:rFonts w:ascii="Times New Roman" w:hAnsi="Times New Roman"/>
                <w:sz w:val="24"/>
                <w:szCs w:val="24"/>
              </w:rPr>
              <w:t>Финансовое планирование</w:t>
            </w:r>
          </w:p>
        </w:tc>
        <w:tc>
          <w:tcPr>
            <w:tcW w:w="1559" w:type="dxa"/>
          </w:tcPr>
          <w:p w14:paraId="2861CEFE" w14:textId="77777777" w:rsidR="007F10E5" w:rsidRPr="007659AC" w:rsidRDefault="007F10E5" w:rsidP="007F10E5">
            <w:pPr>
              <w:jc w:val="center"/>
              <w:rPr>
                <w:rFonts w:ascii="Times New Roman" w:hAnsi="Times New Roman"/>
                <w:sz w:val="24"/>
                <w:szCs w:val="24"/>
              </w:rPr>
            </w:pPr>
            <w:r w:rsidRPr="007659AC">
              <w:rPr>
                <w:rFonts w:ascii="Times New Roman" w:hAnsi="Times New Roman"/>
                <w:sz w:val="24"/>
                <w:szCs w:val="24"/>
              </w:rPr>
              <w:t>20</w:t>
            </w:r>
            <w:r>
              <w:rPr>
                <w:rFonts w:ascii="Times New Roman" w:hAnsi="Times New Roman"/>
                <w:sz w:val="24"/>
                <w:szCs w:val="24"/>
              </w:rPr>
              <w:t>,0</w:t>
            </w:r>
          </w:p>
        </w:tc>
        <w:tc>
          <w:tcPr>
            <w:tcW w:w="1984" w:type="dxa"/>
          </w:tcPr>
          <w:p w14:paraId="4B4EC13C" w14:textId="77777777" w:rsidR="007F10E5" w:rsidRDefault="007F10E5" w:rsidP="007F10E5">
            <w:pPr>
              <w:jc w:val="center"/>
              <w:rPr>
                <w:rFonts w:ascii="Times New Roman" w:hAnsi="Times New Roman"/>
                <w:sz w:val="24"/>
                <w:szCs w:val="24"/>
              </w:rPr>
            </w:pPr>
            <w:r w:rsidRPr="007659AC">
              <w:rPr>
                <w:rFonts w:ascii="Times New Roman" w:hAnsi="Times New Roman"/>
                <w:sz w:val="24"/>
                <w:szCs w:val="24"/>
              </w:rPr>
              <w:t>20</w:t>
            </w:r>
            <w:r>
              <w:rPr>
                <w:rFonts w:ascii="Times New Roman" w:hAnsi="Times New Roman"/>
                <w:sz w:val="24"/>
                <w:szCs w:val="24"/>
              </w:rPr>
              <w:t>,0</w:t>
            </w:r>
          </w:p>
        </w:tc>
        <w:tc>
          <w:tcPr>
            <w:tcW w:w="1418" w:type="dxa"/>
          </w:tcPr>
          <w:p w14:paraId="27580845" w14:textId="77777777" w:rsidR="007F10E5" w:rsidRPr="005F2D54" w:rsidRDefault="007F10E5" w:rsidP="007F10E5">
            <w:pPr>
              <w:jc w:val="center"/>
              <w:rPr>
                <w:rFonts w:ascii="Times New Roman" w:hAnsi="Times New Roman"/>
                <w:sz w:val="24"/>
                <w:szCs w:val="24"/>
              </w:rPr>
            </w:pPr>
            <w:r>
              <w:rPr>
                <w:rFonts w:ascii="Times New Roman" w:hAnsi="Times New Roman"/>
                <w:sz w:val="24"/>
                <w:szCs w:val="24"/>
              </w:rPr>
              <w:t>0</w:t>
            </w:r>
          </w:p>
        </w:tc>
      </w:tr>
      <w:tr w:rsidR="000C7A29" w:rsidRPr="005F2D54" w14:paraId="716C1493" w14:textId="77777777" w:rsidTr="00C34702">
        <w:tc>
          <w:tcPr>
            <w:tcW w:w="4962" w:type="dxa"/>
          </w:tcPr>
          <w:p w14:paraId="3A2D5735" w14:textId="77777777" w:rsidR="000C7A29" w:rsidRPr="007659AC" w:rsidRDefault="000C7A29" w:rsidP="007F10E5">
            <w:pPr>
              <w:jc w:val="both"/>
              <w:rPr>
                <w:rFonts w:ascii="Times New Roman" w:hAnsi="Times New Roman"/>
                <w:sz w:val="24"/>
                <w:szCs w:val="24"/>
              </w:rPr>
            </w:pPr>
            <w:r w:rsidRPr="000C7A29">
              <w:rPr>
                <w:rFonts w:ascii="Times New Roman" w:hAnsi="Times New Roman"/>
                <w:sz w:val="24"/>
                <w:szCs w:val="24"/>
              </w:rPr>
              <w:t>Качество планирования расходов: количество изменений в сводную бюджетную роспись бюджета Муринского городского поселения (за исключением целевых поступлений из областного и федерального бюджетов)</w:t>
            </w:r>
          </w:p>
        </w:tc>
        <w:tc>
          <w:tcPr>
            <w:tcW w:w="1559" w:type="dxa"/>
          </w:tcPr>
          <w:p w14:paraId="78776FFB" w14:textId="77777777" w:rsidR="000C7A29" w:rsidRPr="000C7A29" w:rsidRDefault="000C7A29" w:rsidP="007F10E5">
            <w:pPr>
              <w:jc w:val="center"/>
              <w:rPr>
                <w:rFonts w:ascii="Times New Roman" w:hAnsi="Times New Roman"/>
                <w:sz w:val="24"/>
                <w:szCs w:val="24"/>
              </w:rPr>
            </w:pPr>
            <w:r>
              <w:rPr>
                <w:rFonts w:ascii="Times New Roman" w:hAnsi="Times New Roman"/>
                <w:sz w:val="24"/>
                <w:szCs w:val="24"/>
                <w:lang w:val="en-US"/>
              </w:rPr>
              <w:t>35</w:t>
            </w:r>
            <w:r>
              <w:rPr>
                <w:rFonts w:ascii="Times New Roman" w:hAnsi="Times New Roman"/>
                <w:sz w:val="24"/>
                <w:szCs w:val="24"/>
              </w:rPr>
              <w:t>,0</w:t>
            </w:r>
          </w:p>
        </w:tc>
        <w:tc>
          <w:tcPr>
            <w:tcW w:w="1984" w:type="dxa"/>
          </w:tcPr>
          <w:p w14:paraId="190FE753" w14:textId="77777777" w:rsidR="000C7A29" w:rsidRPr="007659AC" w:rsidRDefault="000C7A29" w:rsidP="007F10E5">
            <w:pPr>
              <w:jc w:val="center"/>
              <w:rPr>
                <w:rFonts w:ascii="Times New Roman" w:hAnsi="Times New Roman"/>
                <w:sz w:val="24"/>
                <w:szCs w:val="24"/>
              </w:rPr>
            </w:pPr>
            <w:r>
              <w:rPr>
                <w:rFonts w:ascii="Times New Roman" w:hAnsi="Times New Roman"/>
                <w:sz w:val="24"/>
                <w:szCs w:val="24"/>
              </w:rPr>
              <w:t>35,0</w:t>
            </w:r>
          </w:p>
        </w:tc>
        <w:tc>
          <w:tcPr>
            <w:tcW w:w="1418" w:type="dxa"/>
          </w:tcPr>
          <w:p w14:paraId="122A0770" w14:textId="77777777" w:rsidR="000C7A29" w:rsidRDefault="000C7A29" w:rsidP="007F10E5">
            <w:pPr>
              <w:jc w:val="center"/>
              <w:rPr>
                <w:rFonts w:ascii="Times New Roman" w:hAnsi="Times New Roman"/>
                <w:sz w:val="24"/>
                <w:szCs w:val="24"/>
              </w:rPr>
            </w:pPr>
            <w:r>
              <w:rPr>
                <w:rFonts w:ascii="Times New Roman" w:hAnsi="Times New Roman"/>
                <w:sz w:val="24"/>
                <w:szCs w:val="24"/>
              </w:rPr>
              <w:t>0</w:t>
            </w:r>
          </w:p>
        </w:tc>
      </w:tr>
      <w:tr w:rsidR="000C7A29" w:rsidRPr="005F2D54" w14:paraId="5EFA8757" w14:textId="77777777" w:rsidTr="00C34702">
        <w:tc>
          <w:tcPr>
            <w:tcW w:w="4962" w:type="dxa"/>
          </w:tcPr>
          <w:p w14:paraId="5A5E30C7" w14:textId="77777777" w:rsidR="000C7A29" w:rsidRPr="007659AC" w:rsidRDefault="000C7A29" w:rsidP="007F10E5">
            <w:pPr>
              <w:jc w:val="both"/>
              <w:rPr>
                <w:rFonts w:ascii="Times New Roman" w:hAnsi="Times New Roman"/>
                <w:sz w:val="24"/>
                <w:szCs w:val="24"/>
              </w:rPr>
            </w:pPr>
            <w:r w:rsidRPr="000C7A29">
              <w:rPr>
                <w:rFonts w:ascii="Times New Roman" w:hAnsi="Times New Roman"/>
                <w:sz w:val="24"/>
                <w:szCs w:val="24"/>
              </w:rPr>
              <w:t xml:space="preserve">Качество планирования расходов: доля суммы изменений в сводную бюджетную роспись бюджета Муринского городского поселения (за исключением целевых </w:t>
            </w:r>
            <w:r w:rsidRPr="000C7A29">
              <w:rPr>
                <w:rFonts w:ascii="Times New Roman" w:hAnsi="Times New Roman"/>
                <w:sz w:val="24"/>
                <w:szCs w:val="24"/>
              </w:rPr>
              <w:lastRenderedPageBreak/>
              <w:t>поступлений из районного, областного и федерального бюджетов и внесений изменений в решение о бюджете Муринского городского поселения на соответствующий период)</w:t>
            </w:r>
          </w:p>
        </w:tc>
        <w:tc>
          <w:tcPr>
            <w:tcW w:w="1559" w:type="dxa"/>
          </w:tcPr>
          <w:p w14:paraId="6A82395A" w14:textId="77777777" w:rsidR="000C7A29" w:rsidRPr="007659AC" w:rsidRDefault="000C7A29" w:rsidP="007F10E5">
            <w:pPr>
              <w:jc w:val="center"/>
              <w:rPr>
                <w:rFonts w:ascii="Times New Roman" w:hAnsi="Times New Roman"/>
                <w:sz w:val="24"/>
                <w:szCs w:val="24"/>
              </w:rPr>
            </w:pPr>
            <w:r>
              <w:rPr>
                <w:rFonts w:ascii="Times New Roman" w:hAnsi="Times New Roman"/>
                <w:sz w:val="24"/>
                <w:szCs w:val="24"/>
              </w:rPr>
              <w:lastRenderedPageBreak/>
              <w:t>35,0</w:t>
            </w:r>
          </w:p>
        </w:tc>
        <w:tc>
          <w:tcPr>
            <w:tcW w:w="1984" w:type="dxa"/>
          </w:tcPr>
          <w:p w14:paraId="20DF2397" w14:textId="77777777" w:rsidR="000C7A29" w:rsidRPr="007659AC" w:rsidRDefault="000C7A29" w:rsidP="007F10E5">
            <w:pPr>
              <w:jc w:val="center"/>
              <w:rPr>
                <w:rFonts w:ascii="Times New Roman" w:hAnsi="Times New Roman"/>
                <w:sz w:val="24"/>
                <w:szCs w:val="24"/>
              </w:rPr>
            </w:pPr>
            <w:r>
              <w:rPr>
                <w:rFonts w:ascii="Times New Roman" w:hAnsi="Times New Roman"/>
                <w:sz w:val="24"/>
                <w:szCs w:val="24"/>
              </w:rPr>
              <w:t>35,0</w:t>
            </w:r>
          </w:p>
        </w:tc>
        <w:tc>
          <w:tcPr>
            <w:tcW w:w="1418" w:type="dxa"/>
          </w:tcPr>
          <w:p w14:paraId="2B650EEE" w14:textId="77777777" w:rsidR="000C7A29" w:rsidRDefault="000C7A29" w:rsidP="007F10E5">
            <w:pPr>
              <w:jc w:val="center"/>
              <w:rPr>
                <w:rFonts w:ascii="Times New Roman" w:hAnsi="Times New Roman"/>
                <w:sz w:val="24"/>
                <w:szCs w:val="24"/>
              </w:rPr>
            </w:pPr>
            <w:r>
              <w:rPr>
                <w:rFonts w:ascii="Times New Roman" w:hAnsi="Times New Roman"/>
                <w:sz w:val="24"/>
                <w:szCs w:val="24"/>
              </w:rPr>
              <w:t>0</w:t>
            </w:r>
          </w:p>
        </w:tc>
      </w:tr>
      <w:tr w:rsidR="000C7A29" w:rsidRPr="005F2D54" w14:paraId="34F33AF6" w14:textId="77777777" w:rsidTr="00C34702">
        <w:tc>
          <w:tcPr>
            <w:tcW w:w="4962" w:type="dxa"/>
          </w:tcPr>
          <w:p w14:paraId="4C270E5D" w14:textId="77777777" w:rsidR="000C7A29" w:rsidRPr="007659AC" w:rsidRDefault="000C7A29" w:rsidP="007F10E5">
            <w:pPr>
              <w:jc w:val="both"/>
              <w:rPr>
                <w:rFonts w:ascii="Times New Roman" w:hAnsi="Times New Roman"/>
                <w:sz w:val="24"/>
                <w:szCs w:val="24"/>
              </w:rPr>
            </w:pPr>
            <w:r w:rsidRPr="000C7A29">
              <w:rPr>
                <w:rFonts w:ascii="Times New Roman" w:hAnsi="Times New Roman"/>
                <w:sz w:val="24"/>
                <w:szCs w:val="24"/>
              </w:rPr>
              <w:t>Своевременность представления реестра расходных обязательств ГРБС</w:t>
            </w:r>
          </w:p>
        </w:tc>
        <w:tc>
          <w:tcPr>
            <w:tcW w:w="1559" w:type="dxa"/>
          </w:tcPr>
          <w:p w14:paraId="115EE5FF" w14:textId="77777777" w:rsidR="000C7A29" w:rsidRPr="007659AC" w:rsidRDefault="000C7A29" w:rsidP="007F10E5">
            <w:pPr>
              <w:jc w:val="center"/>
              <w:rPr>
                <w:rFonts w:ascii="Times New Roman" w:hAnsi="Times New Roman"/>
                <w:sz w:val="24"/>
                <w:szCs w:val="24"/>
              </w:rPr>
            </w:pPr>
            <w:r>
              <w:rPr>
                <w:rFonts w:ascii="Times New Roman" w:hAnsi="Times New Roman"/>
                <w:sz w:val="24"/>
                <w:szCs w:val="24"/>
              </w:rPr>
              <w:t>30,0</w:t>
            </w:r>
          </w:p>
        </w:tc>
        <w:tc>
          <w:tcPr>
            <w:tcW w:w="1984" w:type="dxa"/>
          </w:tcPr>
          <w:p w14:paraId="00AA23CF" w14:textId="77777777" w:rsidR="000C7A29" w:rsidRPr="007659AC" w:rsidRDefault="000C7A29" w:rsidP="007F10E5">
            <w:pPr>
              <w:jc w:val="center"/>
              <w:rPr>
                <w:rFonts w:ascii="Times New Roman" w:hAnsi="Times New Roman"/>
                <w:sz w:val="24"/>
                <w:szCs w:val="24"/>
              </w:rPr>
            </w:pPr>
            <w:r>
              <w:rPr>
                <w:rFonts w:ascii="Times New Roman" w:hAnsi="Times New Roman"/>
                <w:sz w:val="24"/>
                <w:szCs w:val="24"/>
              </w:rPr>
              <w:t>30,0</w:t>
            </w:r>
          </w:p>
        </w:tc>
        <w:tc>
          <w:tcPr>
            <w:tcW w:w="1418" w:type="dxa"/>
          </w:tcPr>
          <w:p w14:paraId="1A2C6A35" w14:textId="77777777" w:rsidR="000C7A29" w:rsidRDefault="000C7A29" w:rsidP="007F10E5">
            <w:pPr>
              <w:jc w:val="center"/>
              <w:rPr>
                <w:rFonts w:ascii="Times New Roman" w:hAnsi="Times New Roman"/>
                <w:sz w:val="24"/>
                <w:szCs w:val="24"/>
              </w:rPr>
            </w:pPr>
            <w:r>
              <w:rPr>
                <w:rFonts w:ascii="Times New Roman" w:hAnsi="Times New Roman"/>
                <w:sz w:val="24"/>
                <w:szCs w:val="24"/>
              </w:rPr>
              <w:t>0</w:t>
            </w:r>
          </w:p>
        </w:tc>
      </w:tr>
      <w:tr w:rsidR="007F10E5" w:rsidRPr="005F2D54" w14:paraId="3BB776D8" w14:textId="77777777" w:rsidTr="00C34702">
        <w:tc>
          <w:tcPr>
            <w:tcW w:w="4962" w:type="dxa"/>
          </w:tcPr>
          <w:p w14:paraId="7229CE30" w14:textId="77777777" w:rsidR="007F10E5" w:rsidRPr="005F2D54" w:rsidRDefault="007F10E5" w:rsidP="007F10E5">
            <w:pPr>
              <w:jc w:val="both"/>
              <w:rPr>
                <w:rFonts w:ascii="Times New Roman" w:hAnsi="Times New Roman"/>
                <w:sz w:val="24"/>
                <w:szCs w:val="24"/>
              </w:rPr>
            </w:pPr>
            <w:r w:rsidRPr="007659AC">
              <w:rPr>
                <w:rFonts w:ascii="Times New Roman" w:hAnsi="Times New Roman"/>
                <w:sz w:val="24"/>
                <w:szCs w:val="24"/>
              </w:rPr>
              <w:t>Программно-целевое планирование</w:t>
            </w:r>
          </w:p>
        </w:tc>
        <w:tc>
          <w:tcPr>
            <w:tcW w:w="1559" w:type="dxa"/>
          </w:tcPr>
          <w:p w14:paraId="48D7EF53" w14:textId="77777777" w:rsidR="007F10E5" w:rsidRPr="005F2D54" w:rsidRDefault="007F10E5" w:rsidP="007F10E5">
            <w:pPr>
              <w:jc w:val="center"/>
              <w:rPr>
                <w:rFonts w:ascii="Times New Roman" w:hAnsi="Times New Roman"/>
                <w:sz w:val="24"/>
                <w:szCs w:val="24"/>
              </w:rPr>
            </w:pPr>
            <w:r>
              <w:rPr>
                <w:rFonts w:ascii="Times New Roman" w:hAnsi="Times New Roman"/>
                <w:sz w:val="24"/>
                <w:szCs w:val="24"/>
              </w:rPr>
              <w:t>10,0</w:t>
            </w:r>
          </w:p>
        </w:tc>
        <w:tc>
          <w:tcPr>
            <w:tcW w:w="1984" w:type="dxa"/>
          </w:tcPr>
          <w:p w14:paraId="1F052A55" w14:textId="77777777" w:rsidR="007F10E5" w:rsidRDefault="007F10E5" w:rsidP="007F10E5">
            <w:pPr>
              <w:jc w:val="center"/>
              <w:rPr>
                <w:rFonts w:ascii="Times New Roman" w:hAnsi="Times New Roman"/>
                <w:sz w:val="24"/>
                <w:szCs w:val="24"/>
              </w:rPr>
            </w:pPr>
            <w:r>
              <w:rPr>
                <w:rFonts w:ascii="Times New Roman" w:hAnsi="Times New Roman"/>
                <w:sz w:val="24"/>
                <w:szCs w:val="24"/>
              </w:rPr>
              <w:t>10,0</w:t>
            </w:r>
          </w:p>
        </w:tc>
        <w:tc>
          <w:tcPr>
            <w:tcW w:w="1418" w:type="dxa"/>
          </w:tcPr>
          <w:p w14:paraId="2435B6ED" w14:textId="77777777" w:rsidR="007F10E5" w:rsidRPr="005F2D54" w:rsidRDefault="007F10E5" w:rsidP="007F10E5">
            <w:pPr>
              <w:jc w:val="center"/>
              <w:rPr>
                <w:rFonts w:ascii="Times New Roman" w:hAnsi="Times New Roman"/>
                <w:sz w:val="24"/>
                <w:szCs w:val="24"/>
              </w:rPr>
            </w:pPr>
            <w:r>
              <w:rPr>
                <w:rFonts w:ascii="Times New Roman" w:hAnsi="Times New Roman"/>
                <w:sz w:val="24"/>
                <w:szCs w:val="24"/>
              </w:rPr>
              <w:t>0</w:t>
            </w:r>
          </w:p>
        </w:tc>
      </w:tr>
      <w:tr w:rsidR="000C7A29" w:rsidRPr="005F2D54" w14:paraId="57342C8E" w14:textId="77777777" w:rsidTr="00C34702">
        <w:tc>
          <w:tcPr>
            <w:tcW w:w="4962" w:type="dxa"/>
          </w:tcPr>
          <w:p w14:paraId="085700A8" w14:textId="77777777" w:rsidR="000C7A29" w:rsidRPr="007659AC" w:rsidRDefault="000C7A29" w:rsidP="007F10E5">
            <w:pPr>
              <w:jc w:val="both"/>
              <w:rPr>
                <w:rFonts w:ascii="Times New Roman" w:hAnsi="Times New Roman"/>
                <w:sz w:val="24"/>
                <w:szCs w:val="24"/>
              </w:rPr>
            </w:pPr>
            <w:r w:rsidRPr="000C7A29">
              <w:rPr>
                <w:rFonts w:ascii="Times New Roman" w:hAnsi="Times New Roman"/>
                <w:sz w:val="24"/>
                <w:szCs w:val="24"/>
              </w:rPr>
              <w:t>Доля бюджетных ассигнований, формируемых в рамках муниципальных программ</w:t>
            </w:r>
          </w:p>
        </w:tc>
        <w:tc>
          <w:tcPr>
            <w:tcW w:w="1559" w:type="dxa"/>
          </w:tcPr>
          <w:p w14:paraId="0CC0EBC0" w14:textId="77777777" w:rsidR="000C7A29" w:rsidRDefault="000C7A29" w:rsidP="007F10E5">
            <w:pPr>
              <w:jc w:val="center"/>
              <w:rPr>
                <w:rFonts w:ascii="Times New Roman" w:hAnsi="Times New Roman"/>
                <w:sz w:val="24"/>
                <w:szCs w:val="24"/>
              </w:rPr>
            </w:pPr>
            <w:r>
              <w:rPr>
                <w:rFonts w:ascii="Times New Roman" w:hAnsi="Times New Roman"/>
                <w:sz w:val="24"/>
                <w:szCs w:val="24"/>
              </w:rPr>
              <w:t>25,0</w:t>
            </w:r>
          </w:p>
        </w:tc>
        <w:tc>
          <w:tcPr>
            <w:tcW w:w="1984" w:type="dxa"/>
          </w:tcPr>
          <w:p w14:paraId="6020D97F" w14:textId="77777777" w:rsidR="000C7A29" w:rsidRDefault="000C7A29" w:rsidP="007F10E5">
            <w:pPr>
              <w:jc w:val="center"/>
              <w:rPr>
                <w:rFonts w:ascii="Times New Roman" w:hAnsi="Times New Roman"/>
                <w:sz w:val="24"/>
                <w:szCs w:val="24"/>
              </w:rPr>
            </w:pPr>
            <w:r>
              <w:rPr>
                <w:rFonts w:ascii="Times New Roman" w:hAnsi="Times New Roman"/>
                <w:sz w:val="24"/>
                <w:szCs w:val="24"/>
              </w:rPr>
              <w:t>25,0</w:t>
            </w:r>
          </w:p>
        </w:tc>
        <w:tc>
          <w:tcPr>
            <w:tcW w:w="1418" w:type="dxa"/>
          </w:tcPr>
          <w:p w14:paraId="6744D88B" w14:textId="77777777" w:rsidR="000C7A29" w:rsidRDefault="000C7A29" w:rsidP="007F10E5">
            <w:pPr>
              <w:jc w:val="center"/>
              <w:rPr>
                <w:rFonts w:ascii="Times New Roman" w:hAnsi="Times New Roman"/>
                <w:sz w:val="24"/>
                <w:szCs w:val="24"/>
              </w:rPr>
            </w:pPr>
            <w:r>
              <w:rPr>
                <w:rFonts w:ascii="Times New Roman" w:hAnsi="Times New Roman"/>
                <w:sz w:val="24"/>
                <w:szCs w:val="24"/>
              </w:rPr>
              <w:t>0</w:t>
            </w:r>
          </w:p>
        </w:tc>
      </w:tr>
      <w:tr w:rsidR="000C7A29" w:rsidRPr="005F2D54" w14:paraId="42664C02" w14:textId="77777777" w:rsidTr="00C34702">
        <w:tc>
          <w:tcPr>
            <w:tcW w:w="4962" w:type="dxa"/>
          </w:tcPr>
          <w:p w14:paraId="079E182F" w14:textId="77777777" w:rsidR="000C7A29" w:rsidRPr="007659AC" w:rsidRDefault="000C7A29" w:rsidP="007F10E5">
            <w:pPr>
              <w:jc w:val="both"/>
              <w:rPr>
                <w:rFonts w:ascii="Times New Roman" w:hAnsi="Times New Roman"/>
                <w:sz w:val="24"/>
                <w:szCs w:val="24"/>
              </w:rPr>
            </w:pPr>
            <w:r w:rsidRPr="000C7A29">
              <w:rPr>
                <w:rFonts w:ascii="Times New Roman" w:hAnsi="Times New Roman"/>
                <w:sz w:val="24"/>
                <w:szCs w:val="24"/>
              </w:rPr>
              <w:t xml:space="preserve">Доля своевременно утверждённых и внесённых изменений в планы-графики (далее – ПГ) </w:t>
            </w:r>
            <w:r w:rsidRPr="000C7A29">
              <w:rPr>
                <w:rFonts w:ascii="Times New Roman" w:hAnsi="Times New Roman"/>
                <w:sz w:val="24"/>
                <w:szCs w:val="24"/>
              </w:rPr>
              <w:br/>
              <w:t>реализации программ</w:t>
            </w:r>
          </w:p>
        </w:tc>
        <w:tc>
          <w:tcPr>
            <w:tcW w:w="1559" w:type="dxa"/>
          </w:tcPr>
          <w:p w14:paraId="57127952" w14:textId="77777777" w:rsidR="000C7A29" w:rsidRDefault="000C7A29" w:rsidP="007F10E5">
            <w:pPr>
              <w:jc w:val="center"/>
              <w:rPr>
                <w:rFonts w:ascii="Times New Roman" w:hAnsi="Times New Roman"/>
                <w:sz w:val="24"/>
                <w:szCs w:val="24"/>
              </w:rPr>
            </w:pPr>
            <w:r>
              <w:rPr>
                <w:rFonts w:ascii="Times New Roman" w:hAnsi="Times New Roman"/>
                <w:sz w:val="24"/>
                <w:szCs w:val="24"/>
              </w:rPr>
              <w:t>30,0</w:t>
            </w:r>
          </w:p>
        </w:tc>
        <w:tc>
          <w:tcPr>
            <w:tcW w:w="1984" w:type="dxa"/>
          </w:tcPr>
          <w:p w14:paraId="7AC52C1B" w14:textId="77777777" w:rsidR="000C7A29" w:rsidRDefault="000C7A29" w:rsidP="007F10E5">
            <w:pPr>
              <w:jc w:val="center"/>
              <w:rPr>
                <w:rFonts w:ascii="Times New Roman" w:hAnsi="Times New Roman"/>
                <w:sz w:val="24"/>
                <w:szCs w:val="24"/>
              </w:rPr>
            </w:pPr>
            <w:r>
              <w:rPr>
                <w:rFonts w:ascii="Times New Roman" w:hAnsi="Times New Roman"/>
                <w:sz w:val="24"/>
                <w:szCs w:val="24"/>
              </w:rPr>
              <w:t>30,0</w:t>
            </w:r>
          </w:p>
        </w:tc>
        <w:tc>
          <w:tcPr>
            <w:tcW w:w="1418" w:type="dxa"/>
          </w:tcPr>
          <w:p w14:paraId="793A0888" w14:textId="77777777" w:rsidR="000C7A29" w:rsidRDefault="000C7A29" w:rsidP="007F10E5">
            <w:pPr>
              <w:jc w:val="center"/>
              <w:rPr>
                <w:rFonts w:ascii="Times New Roman" w:hAnsi="Times New Roman"/>
                <w:sz w:val="24"/>
                <w:szCs w:val="24"/>
              </w:rPr>
            </w:pPr>
            <w:r>
              <w:rPr>
                <w:rFonts w:ascii="Times New Roman" w:hAnsi="Times New Roman"/>
                <w:sz w:val="24"/>
                <w:szCs w:val="24"/>
              </w:rPr>
              <w:t>0</w:t>
            </w:r>
          </w:p>
        </w:tc>
      </w:tr>
      <w:tr w:rsidR="000C7A29" w:rsidRPr="005F2D54" w14:paraId="2B8DDECE" w14:textId="77777777" w:rsidTr="00C34702">
        <w:tc>
          <w:tcPr>
            <w:tcW w:w="4962" w:type="dxa"/>
          </w:tcPr>
          <w:p w14:paraId="697EB347" w14:textId="77777777" w:rsidR="000C7A29" w:rsidRPr="000C7A29" w:rsidRDefault="000C7A29" w:rsidP="000C7A29">
            <w:pPr>
              <w:jc w:val="both"/>
              <w:rPr>
                <w:rFonts w:ascii="Times New Roman" w:hAnsi="Times New Roman"/>
                <w:sz w:val="24"/>
                <w:szCs w:val="24"/>
              </w:rPr>
            </w:pPr>
            <w:r w:rsidRPr="000C7A29">
              <w:rPr>
                <w:rFonts w:ascii="Times New Roman" w:hAnsi="Times New Roman"/>
                <w:sz w:val="24"/>
                <w:szCs w:val="24"/>
              </w:rPr>
              <w:t>Доля представленных квартальных отчётов и годового отчёта в установленный срок</w:t>
            </w:r>
          </w:p>
        </w:tc>
        <w:tc>
          <w:tcPr>
            <w:tcW w:w="1559" w:type="dxa"/>
          </w:tcPr>
          <w:p w14:paraId="3CB0A0BB" w14:textId="77777777" w:rsidR="000C7A29" w:rsidRDefault="000C7A29" w:rsidP="000C7A29">
            <w:pPr>
              <w:jc w:val="center"/>
              <w:rPr>
                <w:rFonts w:ascii="Times New Roman" w:hAnsi="Times New Roman"/>
                <w:sz w:val="24"/>
                <w:szCs w:val="24"/>
              </w:rPr>
            </w:pPr>
            <w:r>
              <w:rPr>
                <w:rFonts w:ascii="Times New Roman" w:hAnsi="Times New Roman"/>
                <w:sz w:val="24"/>
                <w:szCs w:val="24"/>
              </w:rPr>
              <w:t>15,0</w:t>
            </w:r>
          </w:p>
        </w:tc>
        <w:tc>
          <w:tcPr>
            <w:tcW w:w="1984" w:type="dxa"/>
          </w:tcPr>
          <w:p w14:paraId="5F12FC06" w14:textId="77777777" w:rsidR="000C7A29" w:rsidRDefault="000C7A29" w:rsidP="000C7A29">
            <w:pPr>
              <w:jc w:val="center"/>
              <w:rPr>
                <w:rFonts w:ascii="Times New Roman" w:hAnsi="Times New Roman"/>
                <w:sz w:val="24"/>
                <w:szCs w:val="24"/>
              </w:rPr>
            </w:pPr>
            <w:r>
              <w:rPr>
                <w:rFonts w:ascii="Times New Roman" w:hAnsi="Times New Roman"/>
                <w:sz w:val="24"/>
                <w:szCs w:val="24"/>
              </w:rPr>
              <w:t>15,0</w:t>
            </w:r>
          </w:p>
        </w:tc>
        <w:tc>
          <w:tcPr>
            <w:tcW w:w="1418" w:type="dxa"/>
          </w:tcPr>
          <w:p w14:paraId="765B6711" w14:textId="77777777" w:rsidR="000C7A29" w:rsidRDefault="000C7A29"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568B27A4" w14:textId="77777777" w:rsidTr="00C34702">
        <w:tc>
          <w:tcPr>
            <w:tcW w:w="4962" w:type="dxa"/>
          </w:tcPr>
          <w:p w14:paraId="7CA94067" w14:textId="77777777" w:rsidR="000C7A29" w:rsidRPr="000C7A29" w:rsidRDefault="000C7A29" w:rsidP="000C7A29">
            <w:pPr>
              <w:jc w:val="both"/>
              <w:rPr>
                <w:rFonts w:ascii="Times New Roman" w:hAnsi="Times New Roman"/>
                <w:sz w:val="24"/>
                <w:szCs w:val="24"/>
              </w:rPr>
            </w:pPr>
            <w:r w:rsidRPr="000C7A29">
              <w:rPr>
                <w:rFonts w:ascii="Times New Roman" w:hAnsi="Times New Roman"/>
                <w:sz w:val="24"/>
                <w:szCs w:val="24"/>
              </w:rPr>
              <w:t xml:space="preserve">Доля представленных в полном объёме согласно утверждённой форме отчётов о реализации муниципальной программы </w:t>
            </w:r>
          </w:p>
        </w:tc>
        <w:tc>
          <w:tcPr>
            <w:tcW w:w="1559" w:type="dxa"/>
          </w:tcPr>
          <w:p w14:paraId="041898C5" w14:textId="77777777" w:rsidR="000C7A29" w:rsidRDefault="000C7A29" w:rsidP="000C7A29">
            <w:pPr>
              <w:jc w:val="center"/>
              <w:rPr>
                <w:rFonts w:ascii="Times New Roman" w:hAnsi="Times New Roman"/>
                <w:sz w:val="24"/>
                <w:szCs w:val="24"/>
              </w:rPr>
            </w:pPr>
            <w:r>
              <w:rPr>
                <w:rFonts w:ascii="Times New Roman" w:hAnsi="Times New Roman"/>
                <w:sz w:val="24"/>
                <w:szCs w:val="24"/>
              </w:rPr>
              <w:t>15,0</w:t>
            </w:r>
          </w:p>
        </w:tc>
        <w:tc>
          <w:tcPr>
            <w:tcW w:w="1984" w:type="dxa"/>
          </w:tcPr>
          <w:p w14:paraId="3EA98007" w14:textId="77777777" w:rsidR="000C7A29" w:rsidRDefault="000C7A29" w:rsidP="000C7A29">
            <w:pPr>
              <w:jc w:val="center"/>
              <w:rPr>
                <w:rFonts w:ascii="Times New Roman" w:hAnsi="Times New Roman"/>
                <w:sz w:val="24"/>
                <w:szCs w:val="24"/>
              </w:rPr>
            </w:pPr>
            <w:r>
              <w:rPr>
                <w:rFonts w:ascii="Times New Roman" w:hAnsi="Times New Roman"/>
                <w:sz w:val="24"/>
                <w:szCs w:val="24"/>
              </w:rPr>
              <w:t>15,0</w:t>
            </w:r>
          </w:p>
        </w:tc>
        <w:tc>
          <w:tcPr>
            <w:tcW w:w="1418" w:type="dxa"/>
          </w:tcPr>
          <w:p w14:paraId="07A16ACE" w14:textId="77777777" w:rsidR="000C7A29" w:rsidRDefault="000C7A29"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3477F101" w14:textId="77777777" w:rsidTr="00C34702">
        <w:tc>
          <w:tcPr>
            <w:tcW w:w="4962" w:type="dxa"/>
          </w:tcPr>
          <w:p w14:paraId="337CB15F" w14:textId="77777777" w:rsidR="000C7A29" w:rsidRPr="000C7A29" w:rsidRDefault="000C7A29" w:rsidP="000C7A29">
            <w:pPr>
              <w:jc w:val="both"/>
              <w:rPr>
                <w:rFonts w:ascii="Times New Roman" w:hAnsi="Times New Roman"/>
                <w:sz w:val="24"/>
                <w:szCs w:val="24"/>
              </w:rPr>
            </w:pPr>
            <w:r w:rsidRPr="000C7A29">
              <w:rPr>
                <w:rFonts w:ascii="Times New Roman" w:hAnsi="Times New Roman"/>
                <w:sz w:val="24"/>
                <w:szCs w:val="24"/>
              </w:rPr>
              <w:t>Размещение на официальном сайте администрации Муринского городского поселения   информации о муниципальных программах и фактических результатах их реализации</w:t>
            </w:r>
          </w:p>
        </w:tc>
        <w:tc>
          <w:tcPr>
            <w:tcW w:w="1559" w:type="dxa"/>
          </w:tcPr>
          <w:p w14:paraId="51AD477A" w14:textId="77777777" w:rsidR="000C7A29" w:rsidRDefault="000C7A29" w:rsidP="000C7A29">
            <w:pPr>
              <w:jc w:val="center"/>
              <w:rPr>
                <w:rFonts w:ascii="Times New Roman" w:hAnsi="Times New Roman"/>
                <w:sz w:val="24"/>
                <w:szCs w:val="24"/>
              </w:rPr>
            </w:pPr>
            <w:r>
              <w:rPr>
                <w:rFonts w:ascii="Times New Roman" w:hAnsi="Times New Roman"/>
                <w:sz w:val="24"/>
                <w:szCs w:val="24"/>
              </w:rPr>
              <w:t>15,0</w:t>
            </w:r>
          </w:p>
        </w:tc>
        <w:tc>
          <w:tcPr>
            <w:tcW w:w="1984" w:type="dxa"/>
          </w:tcPr>
          <w:p w14:paraId="7F9BF579" w14:textId="77777777" w:rsidR="000C7A29" w:rsidRDefault="000C7A29" w:rsidP="000C7A29">
            <w:pPr>
              <w:jc w:val="center"/>
              <w:rPr>
                <w:rFonts w:ascii="Times New Roman" w:hAnsi="Times New Roman"/>
                <w:sz w:val="24"/>
                <w:szCs w:val="24"/>
              </w:rPr>
            </w:pPr>
            <w:r>
              <w:rPr>
                <w:rFonts w:ascii="Times New Roman" w:hAnsi="Times New Roman"/>
                <w:sz w:val="24"/>
                <w:szCs w:val="24"/>
              </w:rPr>
              <w:t>15,0</w:t>
            </w:r>
          </w:p>
        </w:tc>
        <w:tc>
          <w:tcPr>
            <w:tcW w:w="1418" w:type="dxa"/>
          </w:tcPr>
          <w:p w14:paraId="1D252137" w14:textId="77777777" w:rsidR="000C7A29" w:rsidRDefault="000C7A29"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57E2F008" w14:textId="77777777" w:rsidTr="00C34702">
        <w:tc>
          <w:tcPr>
            <w:tcW w:w="4962" w:type="dxa"/>
          </w:tcPr>
          <w:p w14:paraId="78658BC7" w14:textId="77777777" w:rsidR="000C7A29" w:rsidRPr="005F2D54" w:rsidRDefault="000C7A29" w:rsidP="000C7A29">
            <w:pPr>
              <w:jc w:val="both"/>
              <w:rPr>
                <w:rFonts w:ascii="Times New Roman" w:hAnsi="Times New Roman"/>
                <w:sz w:val="24"/>
                <w:szCs w:val="24"/>
              </w:rPr>
            </w:pPr>
            <w:r w:rsidRPr="007659AC">
              <w:rPr>
                <w:rFonts w:ascii="Times New Roman" w:hAnsi="Times New Roman"/>
                <w:sz w:val="24"/>
                <w:szCs w:val="24"/>
              </w:rPr>
              <w:t>Исполнение бюджета Муринского городского поселения по расходам</w:t>
            </w:r>
          </w:p>
        </w:tc>
        <w:tc>
          <w:tcPr>
            <w:tcW w:w="1559" w:type="dxa"/>
          </w:tcPr>
          <w:p w14:paraId="6AB03804" w14:textId="77777777" w:rsidR="000C7A29" w:rsidRPr="005F2D54" w:rsidRDefault="000C7A29" w:rsidP="000C7A29">
            <w:pPr>
              <w:jc w:val="center"/>
              <w:rPr>
                <w:rFonts w:ascii="Times New Roman" w:hAnsi="Times New Roman"/>
                <w:sz w:val="24"/>
                <w:szCs w:val="24"/>
              </w:rPr>
            </w:pPr>
            <w:r>
              <w:rPr>
                <w:rFonts w:ascii="Times New Roman" w:hAnsi="Times New Roman"/>
                <w:sz w:val="24"/>
                <w:szCs w:val="24"/>
              </w:rPr>
              <w:t>12,0</w:t>
            </w:r>
          </w:p>
        </w:tc>
        <w:tc>
          <w:tcPr>
            <w:tcW w:w="1984" w:type="dxa"/>
          </w:tcPr>
          <w:p w14:paraId="0561F2DC" w14:textId="77777777" w:rsidR="000C7A29" w:rsidRDefault="000C7A29" w:rsidP="000C7A29">
            <w:pPr>
              <w:jc w:val="center"/>
              <w:rPr>
                <w:rFonts w:ascii="Times New Roman" w:hAnsi="Times New Roman"/>
                <w:sz w:val="24"/>
                <w:szCs w:val="24"/>
              </w:rPr>
            </w:pPr>
            <w:r>
              <w:rPr>
                <w:rFonts w:ascii="Times New Roman" w:hAnsi="Times New Roman"/>
                <w:sz w:val="24"/>
                <w:szCs w:val="24"/>
              </w:rPr>
              <w:t>15,0</w:t>
            </w:r>
          </w:p>
        </w:tc>
        <w:tc>
          <w:tcPr>
            <w:tcW w:w="1418" w:type="dxa"/>
          </w:tcPr>
          <w:p w14:paraId="19AE89A3" w14:textId="77777777" w:rsidR="000C7A29" w:rsidRPr="005F2D54" w:rsidRDefault="000C7A29" w:rsidP="000C7A29">
            <w:pPr>
              <w:jc w:val="center"/>
              <w:rPr>
                <w:rFonts w:ascii="Times New Roman" w:hAnsi="Times New Roman"/>
                <w:sz w:val="24"/>
                <w:szCs w:val="24"/>
              </w:rPr>
            </w:pPr>
            <w:r>
              <w:rPr>
                <w:rFonts w:ascii="Times New Roman" w:hAnsi="Times New Roman"/>
                <w:sz w:val="24"/>
                <w:szCs w:val="24"/>
              </w:rPr>
              <w:t>-3</w:t>
            </w:r>
          </w:p>
        </w:tc>
      </w:tr>
      <w:tr w:rsidR="000C7A29" w:rsidRPr="005F2D54" w14:paraId="7186A6F4" w14:textId="77777777" w:rsidTr="00C34702">
        <w:tc>
          <w:tcPr>
            <w:tcW w:w="4962" w:type="dxa"/>
          </w:tcPr>
          <w:p w14:paraId="381F3720" w14:textId="77777777" w:rsidR="000C7A29" w:rsidRPr="007659AC" w:rsidRDefault="000C7A29" w:rsidP="000C7A29">
            <w:pPr>
              <w:jc w:val="both"/>
              <w:rPr>
                <w:rFonts w:ascii="Times New Roman" w:hAnsi="Times New Roman"/>
                <w:sz w:val="24"/>
                <w:szCs w:val="24"/>
              </w:rPr>
            </w:pPr>
            <w:r w:rsidRPr="000C7A29">
              <w:rPr>
                <w:rFonts w:ascii="Times New Roman" w:hAnsi="Times New Roman"/>
                <w:sz w:val="24"/>
                <w:szCs w:val="24"/>
              </w:rPr>
              <w:t>Равномерность расходов (без учёта целевых поступлений из районного, областного и федерального бюджетов)</w:t>
            </w:r>
            <w:r w:rsidRPr="007A4D45">
              <w:rPr>
                <w:sz w:val="24"/>
                <w:szCs w:val="24"/>
              </w:rPr>
              <w:t xml:space="preserve"> </w:t>
            </w:r>
          </w:p>
        </w:tc>
        <w:tc>
          <w:tcPr>
            <w:tcW w:w="1559" w:type="dxa"/>
          </w:tcPr>
          <w:p w14:paraId="2092A6C3" w14:textId="77777777" w:rsidR="000C7A29" w:rsidRDefault="000C7A29" w:rsidP="000C7A29">
            <w:pPr>
              <w:jc w:val="center"/>
              <w:rPr>
                <w:rFonts w:ascii="Times New Roman" w:hAnsi="Times New Roman"/>
                <w:sz w:val="24"/>
                <w:szCs w:val="24"/>
              </w:rPr>
            </w:pPr>
            <w:r>
              <w:rPr>
                <w:rFonts w:ascii="Times New Roman" w:hAnsi="Times New Roman"/>
                <w:sz w:val="24"/>
                <w:szCs w:val="24"/>
              </w:rPr>
              <w:t>20</w:t>
            </w:r>
            <w:r w:rsidR="0068617B">
              <w:rPr>
                <w:rFonts w:ascii="Times New Roman" w:hAnsi="Times New Roman"/>
                <w:sz w:val="24"/>
                <w:szCs w:val="24"/>
              </w:rPr>
              <w:t>,0</w:t>
            </w:r>
          </w:p>
        </w:tc>
        <w:tc>
          <w:tcPr>
            <w:tcW w:w="1984" w:type="dxa"/>
          </w:tcPr>
          <w:p w14:paraId="35143C0A" w14:textId="77777777" w:rsidR="000C7A29" w:rsidRDefault="000C7A29" w:rsidP="000C7A29">
            <w:pPr>
              <w:jc w:val="center"/>
              <w:rPr>
                <w:rFonts w:ascii="Times New Roman" w:hAnsi="Times New Roman"/>
                <w:sz w:val="24"/>
                <w:szCs w:val="24"/>
              </w:rPr>
            </w:pPr>
            <w:r>
              <w:rPr>
                <w:rFonts w:ascii="Times New Roman" w:hAnsi="Times New Roman"/>
                <w:sz w:val="24"/>
                <w:szCs w:val="24"/>
              </w:rPr>
              <w:t>20</w:t>
            </w:r>
            <w:r w:rsidR="0068617B">
              <w:rPr>
                <w:rFonts w:ascii="Times New Roman" w:hAnsi="Times New Roman"/>
                <w:sz w:val="24"/>
                <w:szCs w:val="24"/>
              </w:rPr>
              <w:t>,0</w:t>
            </w:r>
          </w:p>
        </w:tc>
        <w:tc>
          <w:tcPr>
            <w:tcW w:w="1418" w:type="dxa"/>
          </w:tcPr>
          <w:p w14:paraId="6450241F" w14:textId="77777777" w:rsidR="000C7A29" w:rsidRDefault="000C7A29"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55CCCE7C" w14:textId="77777777" w:rsidTr="00C34702">
        <w:tc>
          <w:tcPr>
            <w:tcW w:w="4962" w:type="dxa"/>
          </w:tcPr>
          <w:p w14:paraId="55BFDBD8" w14:textId="77777777" w:rsidR="000C7A29" w:rsidRPr="007659AC" w:rsidRDefault="000C7A29" w:rsidP="000C7A29">
            <w:pPr>
              <w:jc w:val="both"/>
              <w:rPr>
                <w:rFonts w:ascii="Times New Roman" w:hAnsi="Times New Roman"/>
                <w:sz w:val="24"/>
                <w:szCs w:val="24"/>
              </w:rPr>
            </w:pPr>
            <w:r w:rsidRPr="000C7A29">
              <w:rPr>
                <w:rFonts w:ascii="Times New Roman" w:hAnsi="Times New Roman"/>
                <w:sz w:val="24"/>
                <w:szCs w:val="24"/>
              </w:rPr>
              <w:t>Снижение (рост) просроченной кредиторской задолженности ГРБС и подведомственных муниципальных учреждений в отчётном периоде</w:t>
            </w:r>
          </w:p>
        </w:tc>
        <w:tc>
          <w:tcPr>
            <w:tcW w:w="1559" w:type="dxa"/>
          </w:tcPr>
          <w:p w14:paraId="3C61DB64" w14:textId="77777777" w:rsidR="000C7A29" w:rsidRDefault="000C7A29" w:rsidP="000C7A29">
            <w:pPr>
              <w:jc w:val="center"/>
              <w:rPr>
                <w:rFonts w:ascii="Times New Roman" w:hAnsi="Times New Roman"/>
                <w:sz w:val="24"/>
                <w:szCs w:val="24"/>
              </w:rPr>
            </w:pPr>
            <w:r>
              <w:rPr>
                <w:rFonts w:ascii="Times New Roman" w:hAnsi="Times New Roman"/>
                <w:sz w:val="24"/>
                <w:szCs w:val="24"/>
              </w:rPr>
              <w:t>20</w:t>
            </w:r>
            <w:r w:rsidR="0068617B">
              <w:rPr>
                <w:rFonts w:ascii="Times New Roman" w:hAnsi="Times New Roman"/>
                <w:sz w:val="24"/>
                <w:szCs w:val="24"/>
              </w:rPr>
              <w:t>,0</w:t>
            </w:r>
          </w:p>
        </w:tc>
        <w:tc>
          <w:tcPr>
            <w:tcW w:w="1984" w:type="dxa"/>
          </w:tcPr>
          <w:p w14:paraId="112A50B7" w14:textId="77777777" w:rsidR="000C7A29" w:rsidRDefault="000C7A29" w:rsidP="000C7A29">
            <w:pPr>
              <w:jc w:val="center"/>
              <w:rPr>
                <w:rFonts w:ascii="Times New Roman" w:hAnsi="Times New Roman"/>
                <w:sz w:val="24"/>
                <w:szCs w:val="24"/>
              </w:rPr>
            </w:pPr>
            <w:r>
              <w:rPr>
                <w:rFonts w:ascii="Times New Roman" w:hAnsi="Times New Roman"/>
                <w:sz w:val="24"/>
                <w:szCs w:val="24"/>
              </w:rPr>
              <w:t>20</w:t>
            </w:r>
            <w:r w:rsidR="0068617B">
              <w:rPr>
                <w:rFonts w:ascii="Times New Roman" w:hAnsi="Times New Roman"/>
                <w:sz w:val="24"/>
                <w:szCs w:val="24"/>
              </w:rPr>
              <w:t>,0</w:t>
            </w:r>
          </w:p>
        </w:tc>
        <w:tc>
          <w:tcPr>
            <w:tcW w:w="1418" w:type="dxa"/>
          </w:tcPr>
          <w:p w14:paraId="1F67379A" w14:textId="77777777" w:rsidR="000C7A29" w:rsidRDefault="000C7A29"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446B56ED" w14:textId="77777777" w:rsidTr="00C34702">
        <w:tc>
          <w:tcPr>
            <w:tcW w:w="4962" w:type="dxa"/>
          </w:tcPr>
          <w:p w14:paraId="2D1A4616" w14:textId="77777777" w:rsidR="000C7A29" w:rsidRPr="007659AC" w:rsidRDefault="000C7A29" w:rsidP="000C7A29">
            <w:pPr>
              <w:jc w:val="both"/>
              <w:rPr>
                <w:rFonts w:ascii="Times New Roman" w:hAnsi="Times New Roman"/>
                <w:sz w:val="24"/>
                <w:szCs w:val="24"/>
              </w:rPr>
            </w:pPr>
            <w:r w:rsidRPr="000C7A29">
              <w:rPr>
                <w:rFonts w:ascii="Times New Roman" w:hAnsi="Times New Roman"/>
                <w:sz w:val="24"/>
                <w:szCs w:val="24"/>
              </w:rPr>
              <w:t>Эффективность управления кредиторской задолженностью по расчётам с поставщиками и подрядчиками</w:t>
            </w:r>
          </w:p>
        </w:tc>
        <w:tc>
          <w:tcPr>
            <w:tcW w:w="1559" w:type="dxa"/>
          </w:tcPr>
          <w:p w14:paraId="63FF8811" w14:textId="77777777" w:rsidR="000C7A29" w:rsidRDefault="000C7A29" w:rsidP="000C7A29">
            <w:pPr>
              <w:jc w:val="center"/>
              <w:rPr>
                <w:rFonts w:ascii="Times New Roman" w:hAnsi="Times New Roman"/>
                <w:sz w:val="24"/>
                <w:szCs w:val="24"/>
              </w:rPr>
            </w:pPr>
            <w:r>
              <w:rPr>
                <w:rFonts w:ascii="Times New Roman" w:hAnsi="Times New Roman"/>
                <w:sz w:val="24"/>
                <w:szCs w:val="24"/>
              </w:rPr>
              <w:t>20</w:t>
            </w:r>
            <w:r w:rsidR="0068617B">
              <w:rPr>
                <w:rFonts w:ascii="Times New Roman" w:hAnsi="Times New Roman"/>
                <w:sz w:val="24"/>
                <w:szCs w:val="24"/>
              </w:rPr>
              <w:t>,0</w:t>
            </w:r>
          </w:p>
        </w:tc>
        <w:tc>
          <w:tcPr>
            <w:tcW w:w="1984" w:type="dxa"/>
          </w:tcPr>
          <w:p w14:paraId="5D13D85A" w14:textId="77777777" w:rsidR="000C7A29" w:rsidRDefault="000C7A29" w:rsidP="000C7A29">
            <w:pPr>
              <w:jc w:val="center"/>
              <w:rPr>
                <w:rFonts w:ascii="Times New Roman" w:hAnsi="Times New Roman"/>
                <w:sz w:val="24"/>
                <w:szCs w:val="24"/>
              </w:rPr>
            </w:pPr>
            <w:r>
              <w:rPr>
                <w:rFonts w:ascii="Times New Roman" w:hAnsi="Times New Roman"/>
                <w:sz w:val="24"/>
                <w:szCs w:val="24"/>
              </w:rPr>
              <w:t>20</w:t>
            </w:r>
            <w:r w:rsidR="0068617B">
              <w:rPr>
                <w:rFonts w:ascii="Times New Roman" w:hAnsi="Times New Roman"/>
                <w:sz w:val="24"/>
                <w:szCs w:val="24"/>
              </w:rPr>
              <w:t>,0</w:t>
            </w:r>
          </w:p>
        </w:tc>
        <w:tc>
          <w:tcPr>
            <w:tcW w:w="1418" w:type="dxa"/>
          </w:tcPr>
          <w:p w14:paraId="5D5FEF47" w14:textId="77777777" w:rsidR="000C7A29" w:rsidRDefault="000C7A29"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35968720" w14:textId="77777777" w:rsidTr="00C34702">
        <w:tc>
          <w:tcPr>
            <w:tcW w:w="4962" w:type="dxa"/>
          </w:tcPr>
          <w:p w14:paraId="64F29DA8" w14:textId="77777777" w:rsidR="000C7A29" w:rsidRPr="007659AC" w:rsidRDefault="000C7A29" w:rsidP="000C7A29">
            <w:pPr>
              <w:jc w:val="both"/>
              <w:rPr>
                <w:rFonts w:ascii="Times New Roman" w:hAnsi="Times New Roman"/>
                <w:sz w:val="24"/>
                <w:szCs w:val="24"/>
              </w:rPr>
            </w:pPr>
            <w:r w:rsidRPr="000C7A29">
              <w:rPr>
                <w:rFonts w:ascii="Times New Roman" w:hAnsi="Times New Roman"/>
                <w:sz w:val="24"/>
                <w:szCs w:val="24"/>
              </w:rPr>
              <w:t>Эффективность управления дебиторской задолженностью с поставщиками и подрядчиками</w:t>
            </w:r>
          </w:p>
        </w:tc>
        <w:tc>
          <w:tcPr>
            <w:tcW w:w="1559" w:type="dxa"/>
          </w:tcPr>
          <w:p w14:paraId="4A9734E2" w14:textId="77777777" w:rsidR="000C7A29" w:rsidRDefault="000C7A29" w:rsidP="000C7A29">
            <w:pPr>
              <w:jc w:val="center"/>
              <w:rPr>
                <w:rFonts w:ascii="Times New Roman" w:hAnsi="Times New Roman"/>
                <w:sz w:val="24"/>
                <w:szCs w:val="24"/>
              </w:rPr>
            </w:pPr>
            <w:r>
              <w:rPr>
                <w:rFonts w:ascii="Times New Roman" w:hAnsi="Times New Roman"/>
                <w:sz w:val="24"/>
                <w:szCs w:val="24"/>
              </w:rPr>
              <w:t>20</w:t>
            </w:r>
            <w:r w:rsidR="0068617B">
              <w:rPr>
                <w:rFonts w:ascii="Times New Roman" w:hAnsi="Times New Roman"/>
                <w:sz w:val="24"/>
                <w:szCs w:val="24"/>
              </w:rPr>
              <w:t>,0</w:t>
            </w:r>
          </w:p>
        </w:tc>
        <w:tc>
          <w:tcPr>
            <w:tcW w:w="1984" w:type="dxa"/>
          </w:tcPr>
          <w:p w14:paraId="25D4AFCC" w14:textId="77777777" w:rsidR="000C7A29" w:rsidRDefault="000C7A29" w:rsidP="000C7A29">
            <w:pPr>
              <w:jc w:val="center"/>
              <w:rPr>
                <w:rFonts w:ascii="Times New Roman" w:hAnsi="Times New Roman"/>
                <w:sz w:val="24"/>
                <w:szCs w:val="24"/>
              </w:rPr>
            </w:pPr>
            <w:r>
              <w:rPr>
                <w:rFonts w:ascii="Times New Roman" w:hAnsi="Times New Roman"/>
                <w:sz w:val="24"/>
                <w:szCs w:val="24"/>
              </w:rPr>
              <w:t>20</w:t>
            </w:r>
            <w:r w:rsidR="0068617B">
              <w:rPr>
                <w:rFonts w:ascii="Times New Roman" w:hAnsi="Times New Roman"/>
                <w:sz w:val="24"/>
                <w:szCs w:val="24"/>
              </w:rPr>
              <w:t>,0</w:t>
            </w:r>
          </w:p>
        </w:tc>
        <w:tc>
          <w:tcPr>
            <w:tcW w:w="1418" w:type="dxa"/>
          </w:tcPr>
          <w:p w14:paraId="6B68FBF3" w14:textId="77777777" w:rsidR="000C7A29" w:rsidRDefault="000C7A29"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3F0BBA31" w14:textId="77777777" w:rsidTr="00C34702">
        <w:tc>
          <w:tcPr>
            <w:tcW w:w="4962" w:type="dxa"/>
          </w:tcPr>
          <w:p w14:paraId="6ACA9530" w14:textId="77777777" w:rsidR="000C7A29" w:rsidRPr="007659AC" w:rsidRDefault="000C7A29" w:rsidP="000C7A29">
            <w:pPr>
              <w:jc w:val="both"/>
              <w:rPr>
                <w:rFonts w:ascii="Times New Roman" w:hAnsi="Times New Roman"/>
                <w:sz w:val="24"/>
                <w:szCs w:val="24"/>
              </w:rPr>
            </w:pPr>
            <w:r w:rsidRPr="000C7A29">
              <w:rPr>
                <w:rFonts w:ascii="Times New Roman" w:hAnsi="Times New Roman"/>
                <w:sz w:val="24"/>
                <w:szCs w:val="24"/>
              </w:rPr>
              <w:t>Сумма, подлежащая взысканию по исполнительным документам</w:t>
            </w:r>
          </w:p>
        </w:tc>
        <w:tc>
          <w:tcPr>
            <w:tcW w:w="1559" w:type="dxa"/>
          </w:tcPr>
          <w:p w14:paraId="78CA45F9" w14:textId="77777777" w:rsidR="000C7A29" w:rsidRDefault="000C7A29" w:rsidP="000C7A29">
            <w:pPr>
              <w:jc w:val="center"/>
              <w:rPr>
                <w:rFonts w:ascii="Times New Roman" w:hAnsi="Times New Roman"/>
                <w:sz w:val="24"/>
                <w:szCs w:val="24"/>
              </w:rPr>
            </w:pPr>
            <w:r>
              <w:rPr>
                <w:rFonts w:ascii="Times New Roman" w:hAnsi="Times New Roman"/>
                <w:sz w:val="24"/>
                <w:szCs w:val="24"/>
              </w:rPr>
              <w:t>0</w:t>
            </w:r>
            <w:r w:rsidR="0068617B">
              <w:rPr>
                <w:rFonts w:ascii="Times New Roman" w:hAnsi="Times New Roman"/>
                <w:sz w:val="24"/>
                <w:szCs w:val="24"/>
              </w:rPr>
              <w:t>,0</w:t>
            </w:r>
          </w:p>
        </w:tc>
        <w:tc>
          <w:tcPr>
            <w:tcW w:w="1984" w:type="dxa"/>
          </w:tcPr>
          <w:p w14:paraId="02EB6543" w14:textId="77777777" w:rsidR="000C7A29" w:rsidRDefault="000C7A29" w:rsidP="000C7A29">
            <w:pPr>
              <w:jc w:val="center"/>
              <w:rPr>
                <w:rFonts w:ascii="Times New Roman" w:hAnsi="Times New Roman"/>
                <w:sz w:val="24"/>
                <w:szCs w:val="24"/>
              </w:rPr>
            </w:pPr>
            <w:r>
              <w:rPr>
                <w:rFonts w:ascii="Times New Roman" w:hAnsi="Times New Roman"/>
                <w:sz w:val="24"/>
                <w:szCs w:val="24"/>
              </w:rPr>
              <w:t>20</w:t>
            </w:r>
            <w:r w:rsidR="0068617B">
              <w:rPr>
                <w:rFonts w:ascii="Times New Roman" w:hAnsi="Times New Roman"/>
                <w:sz w:val="24"/>
                <w:szCs w:val="24"/>
              </w:rPr>
              <w:t>,0</w:t>
            </w:r>
          </w:p>
        </w:tc>
        <w:tc>
          <w:tcPr>
            <w:tcW w:w="1418" w:type="dxa"/>
          </w:tcPr>
          <w:p w14:paraId="1B985BF0" w14:textId="77777777" w:rsidR="000C7A29" w:rsidRDefault="000C7A29" w:rsidP="000C7A29">
            <w:pPr>
              <w:jc w:val="center"/>
              <w:rPr>
                <w:rFonts w:ascii="Times New Roman" w:hAnsi="Times New Roman"/>
                <w:sz w:val="24"/>
                <w:szCs w:val="24"/>
              </w:rPr>
            </w:pPr>
            <w:r>
              <w:rPr>
                <w:rFonts w:ascii="Times New Roman" w:hAnsi="Times New Roman"/>
                <w:sz w:val="24"/>
                <w:szCs w:val="24"/>
              </w:rPr>
              <w:t>-20</w:t>
            </w:r>
          </w:p>
        </w:tc>
      </w:tr>
      <w:tr w:rsidR="000C7A29" w:rsidRPr="005F2D54" w14:paraId="20C9CA04" w14:textId="77777777" w:rsidTr="00C34702">
        <w:tc>
          <w:tcPr>
            <w:tcW w:w="4962" w:type="dxa"/>
          </w:tcPr>
          <w:p w14:paraId="3FF2B687" w14:textId="77777777" w:rsidR="000C7A29" w:rsidRPr="005F2D54" w:rsidRDefault="000C7A29" w:rsidP="000C7A29">
            <w:pPr>
              <w:jc w:val="both"/>
              <w:rPr>
                <w:rFonts w:ascii="Times New Roman" w:hAnsi="Times New Roman"/>
                <w:sz w:val="24"/>
                <w:szCs w:val="24"/>
              </w:rPr>
            </w:pPr>
            <w:r w:rsidRPr="007659AC">
              <w:rPr>
                <w:rFonts w:ascii="Times New Roman" w:hAnsi="Times New Roman"/>
                <w:sz w:val="24"/>
                <w:szCs w:val="24"/>
              </w:rPr>
              <w:t>Исполнение бюджета Муринского городского поселения по доходам</w:t>
            </w:r>
          </w:p>
        </w:tc>
        <w:tc>
          <w:tcPr>
            <w:tcW w:w="1559" w:type="dxa"/>
          </w:tcPr>
          <w:p w14:paraId="5D5132E1" w14:textId="77777777" w:rsidR="000C7A29" w:rsidRPr="005F2D54" w:rsidRDefault="000C7A29" w:rsidP="000C7A29">
            <w:pPr>
              <w:jc w:val="center"/>
              <w:rPr>
                <w:rFonts w:ascii="Times New Roman" w:hAnsi="Times New Roman"/>
                <w:sz w:val="24"/>
                <w:szCs w:val="24"/>
              </w:rPr>
            </w:pPr>
            <w:r>
              <w:rPr>
                <w:rFonts w:ascii="Times New Roman" w:hAnsi="Times New Roman"/>
                <w:sz w:val="24"/>
                <w:szCs w:val="24"/>
              </w:rPr>
              <w:t>15,0</w:t>
            </w:r>
          </w:p>
        </w:tc>
        <w:tc>
          <w:tcPr>
            <w:tcW w:w="1984" w:type="dxa"/>
          </w:tcPr>
          <w:p w14:paraId="0F19D9C7" w14:textId="77777777" w:rsidR="000C7A29" w:rsidRDefault="000C7A29" w:rsidP="000C7A29">
            <w:pPr>
              <w:jc w:val="center"/>
              <w:rPr>
                <w:rFonts w:ascii="Times New Roman" w:hAnsi="Times New Roman"/>
                <w:sz w:val="24"/>
                <w:szCs w:val="24"/>
              </w:rPr>
            </w:pPr>
            <w:r>
              <w:rPr>
                <w:rFonts w:ascii="Times New Roman" w:hAnsi="Times New Roman"/>
                <w:sz w:val="24"/>
                <w:szCs w:val="24"/>
              </w:rPr>
              <w:t>15,0</w:t>
            </w:r>
          </w:p>
        </w:tc>
        <w:tc>
          <w:tcPr>
            <w:tcW w:w="1418" w:type="dxa"/>
          </w:tcPr>
          <w:p w14:paraId="6DC45A51" w14:textId="77777777" w:rsidR="000C7A29" w:rsidRPr="005F2D54" w:rsidRDefault="000C7A29"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0C294858" w14:textId="77777777" w:rsidTr="00C34702">
        <w:tc>
          <w:tcPr>
            <w:tcW w:w="4962" w:type="dxa"/>
          </w:tcPr>
          <w:p w14:paraId="7857C734" w14:textId="77777777" w:rsidR="000C7A29" w:rsidRPr="007659AC" w:rsidRDefault="000C7A29" w:rsidP="000C7A29">
            <w:pPr>
              <w:jc w:val="both"/>
              <w:rPr>
                <w:rFonts w:ascii="Times New Roman" w:hAnsi="Times New Roman"/>
                <w:sz w:val="24"/>
                <w:szCs w:val="24"/>
              </w:rPr>
            </w:pPr>
            <w:r w:rsidRPr="0068617B">
              <w:rPr>
                <w:rFonts w:ascii="Times New Roman" w:hAnsi="Times New Roman"/>
                <w:sz w:val="24"/>
                <w:szCs w:val="24"/>
              </w:rPr>
              <w:t>Эффективность работы с невыясненными поступлениями в бюджет Муринского городского поселения</w:t>
            </w:r>
          </w:p>
        </w:tc>
        <w:tc>
          <w:tcPr>
            <w:tcW w:w="1559" w:type="dxa"/>
          </w:tcPr>
          <w:p w14:paraId="5A82083B" w14:textId="77777777" w:rsidR="000C7A29" w:rsidRDefault="0068617B" w:rsidP="000C7A29">
            <w:pPr>
              <w:jc w:val="center"/>
              <w:rPr>
                <w:rFonts w:ascii="Times New Roman" w:hAnsi="Times New Roman"/>
                <w:sz w:val="24"/>
                <w:szCs w:val="24"/>
              </w:rPr>
            </w:pPr>
            <w:r>
              <w:rPr>
                <w:rFonts w:ascii="Times New Roman" w:hAnsi="Times New Roman"/>
                <w:sz w:val="24"/>
                <w:szCs w:val="24"/>
              </w:rPr>
              <w:t>50,0</w:t>
            </w:r>
          </w:p>
        </w:tc>
        <w:tc>
          <w:tcPr>
            <w:tcW w:w="1984" w:type="dxa"/>
          </w:tcPr>
          <w:p w14:paraId="4982A077" w14:textId="77777777" w:rsidR="000C7A29" w:rsidRDefault="0068617B" w:rsidP="000C7A29">
            <w:pPr>
              <w:jc w:val="center"/>
              <w:rPr>
                <w:rFonts w:ascii="Times New Roman" w:hAnsi="Times New Roman"/>
                <w:sz w:val="24"/>
                <w:szCs w:val="24"/>
              </w:rPr>
            </w:pPr>
            <w:r>
              <w:rPr>
                <w:rFonts w:ascii="Times New Roman" w:hAnsi="Times New Roman"/>
                <w:sz w:val="24"/>
                <w:szCs w:val="24"/>
              </w:rPr>
              <w:t>50,0</w:t>
            </w:r>
          </w:p>
        </w:tc>
        <w:tc>
          <w:tcPr>
            <w:tcW w:w="1418" w:type="dxa"/>
          </w:tcPr>
          <w:p w14:paraId="3352D7B0" w14:textId="77777777" w:rsidR="000C7A29" w:rsidRDefault="0068617B"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2DD432D8" w14:textId="77777777" w:rsidTr="00C34702">
        <w:tc>
          <w:tcPr>
            <w:tcW w:w="4962" w:type="dxa"/>
          </w:tcPr>
          <w:p w14:paraId="26C8FD6F" w14:textId="77777777" w:rsidR="000C7A29" w:rsidRPr="007659AC" w:rsidRDefault="000C7A29" w:rsidP="000C7A29">
            <w:pPr>
              <w:jc w:val="both"/>
              <w:rPr>
                <w:rFonts w:ascii="Times New Roman" w:hAnsi="Times New Roman"/>
                <w:sz w:val="24"/>
                <w:szCs w:val="24"/>
              </w:rPr>
            </w:pPr>
            <w:r w:rsidRPr="0068617B">
              <w:rPr>
                <w:rFonts w:ascii="Times New Roman" w:hAnsi="Times New Roman"/>
                <w:sz w:val="24"/>
                <w:szCs w:val="24"/>
              </w:rPr>
              <w:t xml:space="preserve">Качество правовой базы ГАДБ по </w:t>
            </w:r>
            <w:r w:rsidRPr="0068617B">
              <w:rPr>
                <w:rFonts w:ascii="Times New Roman" w:hAnsi="Times New Roman"/>
                <w:sz w:val="24"/>
                <w:szCs w:val="24"/>
              </w:rPr>
              <w:lastRenderedPageBreak/>
              <w:t>администрированию доходов</w:t>
            </w:r>
          </w:p>
        </w:tc>
        <w:tc>
          <w:tcPr>
            <w:tcW w:w="1559" w:type="dxa"/>
          </w:tcPr>
          <w:p w14:paraId="07AF5E46" w14:textId="77777777" w:rsidR="000C7A29" w:rsidRDefault="0068617B" w:rsidP="000C7A29">
            <w:pPr>
              <w:jc w:val="center"/>
              <w:rPr>
                <w:rFonts w:ascii="Times New Roman" w:hAnsi="Times New Roman"/>
                <w:sz w:val="24"/>
                <w:szCs w:val="24"/>
              </w:rPr>
            </w:pPr>
            <w:r>
              <w:rPr>
                <w:rFonts w:ascii="Times New Roman" w:hAnsi="Times New Roman"/>
                <w:sz w:val="24"/>
                <w:szCs w:val="24"/>
              </w:rPr>
              <w:lastRenderedPageBreak/>
              <w:t>50,0</w:t>
            </w:r>
          </w:p>
        </w:tc>
        <w:tc>
          <w:tcPr>
            <w:tcW w:w="1984" w:type="dxa"/>
          </w:tcPr>
          <w:p w14:paraId="6DC059D3" w14:textId="77777777" w:rsidR="000C7A29" w:rsidRDefault="0068617B" w:rsidP="000C7A29">
            <w:pPr>
              <w:jc w:val="center"/>
              <w:rPr>
                <w:rFonts w:ascii="Times New Roman" w:hAnsi="Times New Roman"/>
                <w:sz w:val="24"/>
                <w:szCs w:val="24"/>
              </w:rPr>
            </w:pPr>
            <w:r>
              <w:rPr>
                <w:rFonts w:ascii="Times New Roman" w:hAnsi="Times New Roman"/>
                <w:sz w:val="24"/>
                <w:szCs w:val="24"/>
              </w:rPr>
              <w:t>50,0</w:t>
            </w:r>
          </w:p>
        </w:tc>
        <w:tc>
          <w:tcPr>
            <w:tcW w:w="1418" w:type="dxa"/>
          </w:tcPr>
          <w:p w14:paraId="0742EEEA" w14:textId="77777777" w:rsidR="000C7A29" w:rsidRDefault="0068617B"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09528159" w14:textId="77777777" w:rsidTr="00C34702">
        <w:tc>
          <w:tcPr>
            <w:tcW w:w="4962" w:type="dxa"/>
          </w:tcPr>
          <w:p w14:paraId="40AF45E9" w14:textId="77777777" w:rsidR="000C7A29" w:rsidRPr="005F2D54" w:rsidRDefault="000C7A29" w:rsidP="000C7A29">
            <w:pPr>
              <w:jc w:val="both"/>
              <w:rPr>
                <w:rFonts w:ascii="Times New Roman" w:hAnsi="Times New Roman"/>
                <w:sz w:val="24"/>
                <w:szCs w:val="24"/>
              </w:rPr>
            </w:pPr>
            <w:r w:rsidRPr="007659AC">
              <w:rPr>
                <w:rFonts w:ascii="Times New Roman" w:hAnsi="Times New Roman"/>
                <w:sz w:val="24"/>
                <w:szCs w:val="24"/>
              </w:rPr>
              <w:t>Учёт и отчётность</w:t>
            </w:r>
          </w:p>
        </w:tc>
        <w:tc>
          <w:tcPr>
            <w:tcW w:w="1559" w:type="dxa"/>
          </w:tcPr>
          <w:p w14:paraId="1F19D363" w14:textId="77777777" w:rsidR="000C7A29" w:rsidRPr="005F2D54" w:rsidRDefault="000C7A29" w:rsidP="000C7A29">
            <w:pPr>
              <w:jc w:val="center"/>
              <w:rPr>
                <w:rFonts w:ascii="Times New Roman" w:hAnsi="Times New Roman"/>
                <w:sz w:val="24"/>
                <w:szCs w:val="24"/>
              </w:rPr>
            </w:pPr>
            <w:r>
              <w:rPr>
                <w:rFonts w:ascii="Times New Roman" w:hAnsi="Times New Roman"/>
                <w:sz w:val="24"/>
                <w:szCs w:val="24"/>
              </w:rPr>
              <w:t>10,0</w:t>
            </w:r>
          </w:p>
        </w:tc>
        <w:tc>
          <w:tcPr>
            <w:tcW w:w="1984" w:type="dxa"/>
          </w:tcPr>
          <w:p w14:paraId="3CCF4B57" w14:textId="77777777" w:rsidR="000C7A29" w:rsidRDefault="000C7A29" w:rsidP="000C7A29">
            <w:pPr>
              <w:jc w:val="center"/>
              <w:rPr>
                <w:rFonts w:ascii="Times New Roman" w:hAnsi="Times New Roman"/>
                <w:sz w:val="24"/>
                <w:szCs w:val="24"/>
              </w:rPr>
            </w:pPr>
            <w:r>
              <w:rPr>
                <w:rFonts w:ascii="Times New Roman" w:hAnsi="Times New Roman"/>
                <w:sz w:val="24"/>
                <w:szCs w:val="24"/>
              </w:rPr>
              <w:t>10,0</w:t>
            </w:r>
          </w:p>
        </w:tc>
        <w:tc>
          <w:tcPr>
            <w:tcW w:w="1418" w:type="dxa"/>
          </w:tcPr>
          <w:p w14:paraId="778A224B" w14:textId="77777777" w:rsidR="000C7A29" w:rsidRPr="005F2D54" w:rsidRDefault="000C7A29"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5B5D8511" w14:textId="77777777" w:rsidTr="00C34702">
        <w:tc>
          <w:tcPr>
            <w:tcW w:w="4962" w:type="dxa"/>
          </w:tcPr>
          <w:p w14:paraId="3D38EE9A" w14:textId="77777777" w:rsidR="000C7A29" w:rsidRPr="007659AC" w:rsidRDefault="0068617B" w:rsidP="000C7A29">
            <w:pPr>
              <w:jc w:val="both"/>
              <w:rPr>
                <w:rFonts w:ascii="Times New Roman" w:hAnsi="Times New Roman"/>
                <w:sz w:val="24"/>
                <w:szCs w:val="24"/>
              </w:rPr>
            </w:pPr>
            <w:r w:rsidRPr="0068617B">
              <w:rPr>
                <w:rFonts w:ascii="Times New Roman" w:hAnsi="Times New Roman"/>
                <w:sz w:val="24"/>
                <w:szCs w:val="24"/>
              </w:rPr>
              <w:t>Представление качественной бюджетной отчётности в установленные сроки</w:t>
            </w:r>
          </w:p>
        </w:tc>
        <w:tc>
          <w:tcPr>
            <w:tcW w:w="1559" w:type="dxa"/>
          </w:tcPr>
          <w:p w14:paraId="4C26576C" w14:textId="77777777" w:rsidR="000C7A29" w:rsidRDefault="00D70BC3" w:rsidP="000C7A29">
            <w:pPr>
              <w:jc w:val="center"/>
              <w:rPr>
                <w:rFonts w:ascii="Times New Roman" w:hAnsi="Times New Roman"/>
                <w:sz w:val="24"/>
                <w:szCs w:val="24"/>
              </w:rPr>
            </w:pPr>
            <w:r>
              <w:rPr>
                <w:rFonts w:ascii="Times New Roman" w:hAnsi="Times New Roman"/>
                <w:sz w:val="24"/>
                <w:szCs w:val="24"/>
              </w:rPr>
              <w:t>100</w:t>
            </w:r>
            <w:r w:rsidR="0068617B">
              <w:rPr>
                <w:rFonts w:ascii="Times New Roman" w:hAnsi="Times New Roman"/>
                <w:sz w:val="24"/>
                <w:szCs w:val="24"/>
              </w:rPr>
              <w:t>,0</w:t>
            </w:r>
          </w:p>
        </w:tc>
        <w:tc>
          <w:tcPr>
            <w:tcW w:w="1984" w:type="dxa"/>
          </w:tcPr>
          <w:p w14:paraId="75F49D07" w14:textId="77777777" w:rsidR="000C7A29" w:rsidRDefault="0068617B" w:rsidP="000C7A29">
            <w:pPr>
              <w:jc w:val="center"/>
              <w:rPr>
                <w:rFonts w:ascii="Times New Roman" w:hAnsi="Times New Roman"/>
                <w:sz w:val="24"/>
                <w:szCs w:val="24"/>
              </w:rPr>
            </w:pPr>
            <w:r>
              <w:rPr>
                <w:rFonts w:ascii="Times New Roman" w:hAnsi="Times New Roman"/>
                <w:sz w:val="24"/>
                <w:szCs w:val="24"/>
              </w:rPr>
              <w:t>100,0</w:t>
            </w:r>
          </w:p>
        </w:tc>
        <w:tc>
          <w:tcPr>
            <w:tcW w:w="1418" w:type="dxa"/>
          </w:tcPr>
          <w:p w14:paraId="44390ABB" w14:textId="77777777" w:rsidR="000C7A29" w:rsidRDefault="0068617B"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0A620145" w14:textId="77777777" w:rsidTr="00C34702">
        <w:tc>
          <w:tcPr>
            <w:tcW w:w="4962" w:type="dxa"/>
          </w:tcPr>
          <w:p w14:paraId="2DC6D4EA" w14:textId="77777777" w:rsidR="000C7A29" w:rsidRPr="005F2D54" w:rsidRDefault="000C7A29" w:rsidP="000C7A29">
            <w:pPr>
              <w:jc w:val="both"/>
              <w:rPr>
                <w:rFonts w:ascii="Times New Roman" w:hAnsi="Times New Roman"/>
                <w:sz w:val="24"/>
                <w:szCs w:val="24"/>
              </w:rPr>
            </w:pPr>
            <w:r w:rsidRPr="007659AC">
              <w:rPr>
                <w:rFonts w:ascii="Times New Roman" w:hAnsi="Times New Roman"/>
                <w:sz w:val="24"/>
                <w:szCs w:val="24"/>
              </w:rPr>
              <w:t>Контроль и аудит</w:t>
            </w:r>
          </w:p>
        </w:tc>
        <w:tc>
          <w:tcPr>
            <w:tcW w:w="1559" w:type="dxa"/>
          </w:tcPr>
          <w:p w14:paraId="3FE2D286" w14:textId="77777777" w:rsidR="000C7A29" w:rsidRPr="005F2D54" w:rsidRDefault="000C7A29" w:rsidP="000C7A29">
            <w:pPr>
              <w:jc w:val="center"/>
              <w:rPr>
                <w:rFonts w:ascii="Times New Roman" w:hAnsi="Times New Roman"/>
                <w:sz w:val="24"/>
                <w:szCs w:val="24"/>
              </w:rPr>
            </w:pPr>
            <w:r>
              <w:rPr>
                <w:rFonts w:ascii="Times New Roman" w:hAnsi="Times New Roman"/>
                <w:sz w:val="24"/>
                <w:szCs w:val="24"/>
              </w:rPr>
              <w:t>15,0</w:t>
            </w:r>
          </w:p>
        </w:tc>
        <w:tc>
          <w:tcPr>
            <w:tcW w:w="1984" w:type="dxa"/>
          </w:tcPr>
          <w:p w14:paraId="7BB33D63" w14:textId="77777777" w:rsidR="000C7A29" w:rsidRDefault="000C7A29" w:rsidP="000C7A29">
            <w:pPr>
              <w:jc w:val="center"/>
              <w:rPr>
                <w:rFonts w:ascii="Times New Roman" w:hAnsi="Times New Roman"/>
                <w:sz w:val="24"/>
                <w:szCs w:val="24"/>
              </w:rPr>
            </w:pPr>
            <w:r>
              <w:rPr>
                <w:rFonts w:ascii="Times New Roman" w:hAnsi="Times New Roman"/>
                <w:sz w:val="24"/>
                <w:szCs w:val="24"/>
              </w:rPr>
              <w:t>15,0</w:t>
            </w:r>
          </w:p>
        </w:tc>
        <w:tc>
          <w:tcPr>
            <w:tcW w:w="1418" w:type="dxa"/>
          </w:tcPr>
          <w:p w14:paraId="2646EF95" w14:textId="77777777" w:rsidR="000C7A29" w:rsidRPr="005F2D54" w:rsidRDefault="000C7A29" w:rsidP="000C7A29">
            <w:pPr>
              <w:jc w:val="center"/>
              <w:rPr>
                <w:rFonts w:ascii="Times New Roman" w:hAnsi="Times New Roman"/>
                <w:sz w:val="24"/>
                <w:szCs w:val="24"/>
              </w:rPr>
            </w:pPr>
            <w:r>
              <w:rPr>
                <w:rFonts w:ascii="Times New Roman" w:hAnsi="Times New Roman"/>
                <w:sz w:val="24"/>
                <w:szCs w:val="24"/>
              </w:rPr>
              <w:t>0</w:t>
            </w:r>
          </w:p>
        </w:tc>
      </w:tr>
      <w:tr w:rsidR="0068617B" w:rsidRPr="005F2D54" w14:paraId="233C701E" w14:textId="77777777" w:rsidTr="00C34702">
        <w:tc>
          <w:tcPr>
            <w:tcW w:w="4962" w:type="dxa"/>
          </w:tcPr>
          <w:p w14:paraId="6CD77B3F" w14:textId="77777777" w:rsidR="0068617B" w:rsidRPr="007659AC" w:rsidRDefault="0068617B" w:rsidP="000C7A29">
            <w:pPr>
              <w:jc w:val="both"/>
              <w:rPr>
                <w:rFonts w:ascii="Times New Roman" w:hAnsi="Times New Roman"/>
                <w:sz w:val="24"/>
                <w:szCs w:val="24"/>
              </w:rPr>
            </w:pPr>
            <w:r w:rsidRPr="0068617B">
              <w:rPr>
                <w:rFonts w:ascii="Times New Roman" w:hAnsi="Times New Roman"/>
                <w:sz w:val="24"/>
                <w:szCs w:val="24"/>
              </w:rPr>
              <w:t>Наличие предписаний по фактам выявленных нарушений по результатам проверок органов внутреннего муниципального финансового контроля, внешнего муниципального финансового контроля, в том числе по подведомственным учреждениям</w:t>
            </w:r>
          </w:p>
        </w:tc>
        <w:tc>
          <w:tcPr>
            <w:tcW w:w="1559" w:type="dxa"/>
          </w:tcPr>
          <w:p w14:paraId="21A00F28" w14:textId="77777777" w:rsidR="0068617B" w:rsidRDefault="0068617B" w:rsidP="000C7A29">
            <w:pPr>
              <w:jc w:val="center"/>
              <w:rPr>
                <w:rFonts w:ascii="Times New Roman" w:hAnsi="Times New Roman"/>
                <w:sz w:val="24"/>
                <w:szCs w:val="24"/>
              </w:rPr>
            </w:pPr>
            <w:r>
              <w:rPr>
                <w:rFonts w:ascii="Times New Roman" w:hAnsi="Times New Roman"/>
                <w:sz w:val="24"/>
                <w:szCs w:val="24"/>
              </w:rPr>
              <w:t>100,0</w:t>
            </w:r>
          </w:p>
        </w:tc>
        <w:tc>
          <w:tcPr>
            <w:tcW w:w="1984" w:type="dxa"/>
          </w:tcPr>
          <w:p w14:paraId="14724155" w14:textId="77777777" w:rsidR="0068617B" w:rsidRDefault="0068617B" w:rsidP="000C7A29">
            <w:pPr>
              <w:jc w:val="center"/>
              <w:rPr>
                <w:rFonts w:ascii="Times New Roman" w:hAnsi="Times New Roman"/>
                <w:sz w:val="24"/>
                <w:szCs w:val="24"/>
              </w:rPr>
            </w:pPr>
            <w:r>
              <w:rPr>
                <w:rFonts w:ascii="Times New Roman" w:hAnsi="Times New Roman"/>
                <w:sz w:val="24"/>
                <w:szCs w:val="24"/>
              </w:rPr>
              <w:t>100,0</w:t>
            </w:r>
          </w:p>
        </w:tc>
        <w:tc>
          <w:tcPr>
            <w:tcW w:w="1418" w:type="dxa"/>
          </w:tcPr>
          <w:p w14:paraId="7E411E82" w14:textId="77777777" w:rsidR="0068617B" w:rsidRDefault="0068617B" w:rsidP="000C7A29">
            <w:pPr>
              <w:jc w:val="center"/>
              <w:rPr>
                <w:rFonts w:ascii="Times New Roman" w:hAnsi="Times New Roman"/>
                <w:sz w:val="24"/>
                <w:szCs w:val="24"/>
              </w:rPr>
            </w:pPr>
            <w:r>
              <w:rPr>
                <w:rFonts w:ascii="Times New Roman" w:hAnsi="Times New Roman"/>
                <w:sz w:val="24"/>
                <w:szCs w:val="24"/>
              </w:rPr>
              <w:t>0</w:t>
            </w:r>
          </w:p>
        </w:tc>
      </w:tr>
      <w:tr w:rsidR="000C7A29" w:rsidRPr="005F2D54" w14:paraId="6F7F00DF" w14:textId="77777777" w:rsidTr="00C34702">
        <w:tc>
          <w:tcPr>
            <w:tcW w:w="4962" w:type="dxa"/>
          </w:tcPr>
          <w:p w14:paraId="60A5F15C" w14:textId="77777777" w:rsidR="000C7A29" w:rsidRPr="007659AC" w:rsidRDefault="000C7A29" w:rsidP="000C7A29">
            <w:pPr>
              <w:jc w:val="both"/>
              <w:rPr>
                <w:rFonts w:ascii="Times New Roman" w:hAnsi="Times New Roman"/>
                <w:sz w:val="24"/>
                <w:szCs w:val="24"/>
              </w:rPr>
            </w:pPr>
            <w:r w:rsidRPr="007659AC">
              <w:rPr>
                <w:rFonts w:ascii="Times New Roman" w:hAnsi="Times New Roman"/>
                <w:sz w:val="24"/>
                <w:szCs w:val="24"/>
              </w:rPr>
              <w:t>Прозрачность бюджетного процесса</w:t>
            </w:r>
          </w:p>
        </w:tc>
        <w:tc>
          <w:tcPr>
            <w:tcW w:w="1559" w:type="dxa"/>
          </w:tcPr>
          <w:p w14:paraId="592934AE" w14:textId="77777777" w:rsidR="000C7A29" w:rsidRPr="005F2D54" w:rsidRDefault="000C7A29" w:rsidP="000C7A29">
            <w:pPr>
              <w:jc w:val="center"/>
              <w:rPr>
                <w:rFonts w:ascii="Times New Roman" w:hAnsi="Times New Roman"/>
                <w:sz w:val="24"/>
                <w:szCs w:val="24"/>
              </w:rPr>
            </w:pPr>
            <w:r>
              <w:rPr>
                <w:rFonts w:ascii="Times New Roman" w:hAnsi="Times New Roman"/>
                <w:sz w:val="24"/>
                <w:szCs w:val="24"/>
              </w:rPr>
              <w:t>3,75</w:t>
            </w:r>
          </w:p>
        </w:tc>
        <w:tc>
          <w:tcPr>
            <w:tcW w:w="1984" w:type="dxa"/>
          </w:tcPr>
          <w:p w14:paraId="1CD6E462" w14:textId="77777777" w:rsidR="000C7A29" w:rsidRDefault="000C7A29" w:rsidP="000C7A29">
            <w:pPr>
              <w:jc w:val="center"/>
              <w:rPr>
                <w:rFonts w:ascii="Times New Roman" w:hAnsi="Times New Roman"/>
                <w:sz w:val="24"/>
                <w:szCs w:val="24"/>
              </w:rPr>
            </w:pPr>
            <w:r>
              <w:rPr>
                <w:rFonts w:ascii="Times New Roman" w:hAnsi="Times New Roman"/>
                <w:sz w:val="24"/>
                <w:szCs w:val="24"/>
              </w:rPr>
              <w:t>3,75</w:t>
            </w:r>
          </w:p>
        </w:tc>
        <w:tc>
          <w:tcPr>
            <w:tcW w:w="1418" w:type="dxa"/>
          </w:tcPr>
          <w:p w14:paraId="7B045006" w14:textId="77777777" w:rsidR="000C7A29" w:rsidRPr="005F2D54" w:rsidRDefault="000C7A29" w:rsidP="000C7A29">
            <w:pPr>
              <w:jc w:val="center"/>
              <w:rPr>
                <w:rFonts w:ascii="Times New Roman" w:hAnsi="Times New Roman"/>
                <w:sz w:val="24"/>
                <w:szCs w:val="24"/>
              </w:rPr>
            </w:pPr>
            <w:r>
              <w:rPr>
                <w:rFonts w:ascii="Times New Roman" w:hAnsi="Times New Roman"/>
                <w:sz w:val="24"/>
                <w:szCs w:val="24"/>
              </w:rPr>
              <w:t>0</w:t>
            </w:r>
          </w:p>
        </w:tc>
      </w:tr>
      <w:tr w:rsidR="0068617B" w:rsidRPr="005F2D54" w14:paraId="3B922E19" w14:textId="77777777" w:rsidTr="00C34702">
        <w:tc>
          <w:tcPr>
            <w:tcW w:w="4962" w:type="dxa"/>
          </w:tcPr>
          <w:p w14:paraId="76514D3D" w14:textId="77777777" w:rsidR="0068617B" w:rsidRPr="007659AC" w:rsidRDefault="0068617B" w:rsidP="0068617B">
            <w:pPr>
              <w:jc w:val="both"/>
              <w:rPr>
                <w:rFonts w:ascii="Times New Roman" w:hAnsi="Times New Roman"/>
                <w:sz w:val="24"/>
                <w:szCs w:val="24"/>
              </w:rPr>
            </w:pPr>
            <w:r w:rsidRPr="0068617B">
              <w:rPr>
                <w:rFonts w:ascii="Times New Roman" w:hAnsi="Times New Roman"/>
                <w:sz w:val="24"/>
                <w:szCs w:val="24"/>
              </w:rPr>
              <w:t>Размещение на официальном сайте администрации Муринского городского поселения муниципальных заданий на оказание муниципальных услуг (выполнение работ) муниципальными учреждениями Муринского городского поселения</w:t>
            </w:r>
          </w:p>
        </w:tc>
        <w:tc>
          <w:tcPr>
            <w:tcW w:w="1559" w:type="dxa"/>
          </w:tcPr>
          <w:p w14:paraId="280D2276" w14:textId="77777777" w:rsidR="0068617B" w:rsidRDefault="0068617B" w:rsidP="0068617B">
            <w:pPr>
              <w:jc w:val="center"/>
              <w:rPr>
                <w:rFonts w:ascii="Times New Roman" w:hAnsi="Times New Roman"/>
                <w:sz w:val="24"/>
                <w:szCs w:val="24"/>
              </w:rPr>
            </w:pPr>
            <w:r>
              <w:rPr>
                <w:rFonts w:ascii="Times New Roman" w:hAnsi="Times New Roman"/>
                <w:sz w:val="24"/>
                <w:szCs w:val="24"/>
              </w:rPr>
              <w:t>0,0</w:t>
            </w:r>
          </w:p>
        </w:tc>
        <w:tc>
          <w:tcPr>
            <w:tcW w:w="1984" w:type="dxa"/>
          </w:tcPr>
          <w:p w14:paraId="1AEFC1BE" w14:textId="77777777" w:rsidR="0068617B" w:rsidRDefault="0068617B" w:rsidP="0068617B">
            <w:pPr>
              <w:jc w:val="center"/>
              <w:rPr>
                <w:rFonts w:ascii="Times New Roman" w:hAnsi="Times New Roman"/>
                <w:sz w:val="24"/>
                <w:szCs w:val="24"/>
              </w:rPr>
            </w:pPr>
            <w:r>
              <w:rPr>
                <w:rFonts w:ascii="Times New Roman" w:hAnsi="Times New Roman"/>
                <w:sz w:val="24"/>
                <w:szCs w:val="24"/>
              </w:rPr>
              <w:t>0,0</w:t>
            </w:r>
          </w:p>
        </w:tc>
        <w:tc>
          <w:tcPr>
            <w:tcW w:w="1418" w:type="dxa"/>
          </w:tcPr>
          <w:p w14:paraId="7AE84453" w14:textId="77777777" w:rsidR="0068617B" w:rsidRDefault="0068617B" w:rsidP="0068617B">
            <w:pPr>
              <w:jc w:val="center"/>
              <w:rPr>
                <w:rFonts w:ascii="Times New Roman" w:hAnsi="Times New Roman"/>
                <w:sz w:val="24"/>
                <w:szCs w:val="24"/>
              </w:rPr>
            </w:pPr>
            <w:r>
              <w:rPr>
                <w:rFonts w:ascii="Times New Roman" w:hAnsi="Times New Roman"/>
                <w:sz w:val="24"/>
                <w:szCs w:val="24"/>
              </w:rPr>
              <w:t>0,0</w:t>
            </w:r>
          </w:p>
        </w:tc>
      </w:tr>
      <w:tr w:rsidR="0068617B" w:rsidRPr="005F2D54" w14:paraId="71C34275" w14:textId="77777777" w:rsidTr="00C34702">
        <w:tc>
          <w:tcPr>
            <w:tcW w:w="4962" w:type="dxa"/>
          </w:tcPr>
          <w:p w14:paraId="71FF37FE" w14:textId="77777777" w:rsidR="0068617B" w:rsidRPr="007659AC" w:rsidRDefault="0068617B" w:rsidP="0068617B">
            <w:pPr>
              <w:jc w:val="both"/>
              <w:rPr>
                <w:rFonts w:ascii="Times New Roman" w:hAnsi="Times New Roman"/>
                <w:sz w:val="24"/>
                <w:szCs w:val="24"/>
              </w:rPr>
            </w:pPr>
            <w:r w:rsidRPr="0068617B">
              <w:rPr>
                <w:rFonts w:ascii="Times New Roman" w:hAnsi="Times New Roman"/>
                <w:sz w:val="24"/>
                <w:szCs w:val="24"/>
              </w:rPr>
              <w:t>Размещение на официальном сайте администрации Муринского городского поселения отчёта об исполнении муниципальных заданий на оказание муниципальных услуг (выполнение работ) муниципальными учреждениями Муринского городского поселения</w:t>
            </w:r>
          </w:p>
        </w:tc>
        <w:tc>
          <w:tcPr>
            <w:tcW w:w="1559" w:type="dxa"/>
          </w:tcPr>
          <w:p w14:paraId="6713ECFA" w14:textId="77777777" w:rsidR="0068617B" w:rsidRDefault="0068617B" w:rsidP="0068617B">
            <w:pPr>
              <w:jc w:val="center"/>
              <w:rPr>
                <w:rFonts w:ascii="Times New Roman" w:hAnsi="Times New Roman"/>
                <w:sz w:val="24"/>
                <w:szCs w:val="24"/>
              </w:rPr>
            </w:pPr>
            <w:r>
              <w:rPr>
                <w:rFonts w:ascii="Times New Roman" w:hAnsi="Times New Roman"/>
                <w:sz w:val="24"/>
                <w:szCs w:val="24"/>
              </w:rPr>
              <w:t>0,0</w:t>
            </w:r>
          </w:p>
        </w:tc>
        <w:tc>
          <w:tcPr>
            <w:tcW w:w="1984" w:type="dxa"/>
          </w:tcPr>
          <w:p w14:paraId="02772DA2" w14:textId="77777777" w:rsidR="0068617B" w:rsidRDefault="0068617B" w:rsidP="0068617B">
            <w:pPr>
              <w:jc w:val="center"/>
              <w:rPr>
                <w:rFonts w:ascii="Times New Roman" w:hAnsi="Times New Roman"/>
                <w:sz w:val="24"/>
                <w:szCs w:val="24"/>
              </w:rPr>
            </w:pPr>
            <w:r>
              <w:rPr>
                <w:rFonts w:ascii="Times New Roman" w:hAnsi="Times New Roman"/>
                <w:sz w:val="24"/>
                <w:szCs w:val="24"/>
              </w:rPr>
              <w:t>0,0</w:t>
            </w:r>
          </w:p>
        </w:tc>
        <w:tc>
          <w:tcPr>
            <w:tcW w:w="1418" w:type="dxa"/>
          </w:tcPr>
          <w:p w14:paraId="311E482A" w14:textId="77777777" w:rsidR="0068617B" w:rsidRDefault="0068617B" w:rsidP="0068617B">
            <w:pPr>
              <w:jc w:val="center"/>
              <w:rPr>
                <w:rFonts w:ascii="Times New Roman" w:hAnsi="Times New Roman"/>
                <w:sz w:val="24"/>
                <w:szCs w:val="24"/>
              </w:rPr>
            </w:pPr>
            <w:r>
              <w:rPr>
                <w:rFonts w:ascii="Times New Roman" w:hAnsi="Times New Roman"/>
                <w:sz w:val="24"/>
                <w:szCs w:val="24"/>
              </w:rPr>
              <w:t>0,0</w:t>
            </w:r>
          </w:p>
        </w:tc>
      </w:tr>
      <w:tr w:rsidR="0068617B" w:rsidRPr="005F2D54" w14:paraId="178294D0" w14:textId="77777777" w:rsidTr="00C34702">
        <w:tc>
          <w:tcPr>
            <w:tcW w:w="4962" w:type="dxa"/>
          </w:tcPr>
          <w:p w14:paraId="6AD9731E" w14:textId="77777777" w:rsidR="0068617B" w:rsidRPr="007659AC" w:rsidRDefault="0068617B" w:rsidP="0068617B">
            <w:pPr>
              <w:jc w:val="both"/>
              <w:rPr>
                <w:rFonts w:ascii="Times New Roman" w:hAnsi="Times New Roman"/>
                <w:sz w:val="24"/>
                <w:szCs w:val="24"/>
              </w:rPr>
            </w:pPr>
            <w:r w:rsidRPr="0068617B">
              <w:rPr>
                <w:rFonts w:ascii="Times New Roman" w:hAnsi="Times New Roman"/>
                <w:sz w:val="24"/>
                <w:szCs w:val="24"/>
              </w:rPr>
              <w:t>Утверждение в срок показателей планов финансово-хозяйственной деятельности или информации о бюджетных обязательствах Муринского городского поселения</w:t>
            </w:r>
          </w:p>
        </w:tc>
        <w:tc>
          <w:tcPr>
            <w:tcW w:w="1559" w:type="dxa"/>
          </w:tcPr>
          <w:p w14:paraId="33224667" w14:textId="77777777" w:rsidR="0068617B" w:rsidRDefault="0068617B" w:rsidP="0068617B">
            <w:pPr>
              <w:jc w:val="center"/>
              <w:rPr>
                <w:rFonts w:ascii="Times New Roman" w:hAnsi="Times New Roman"/>
                <w:sz w:val="24"/>
                <w:szCs w:val="24"/>
              </w:rPr>
            </w:pPr>
            <w:r>
              <w:rPr>
                <w:rFonts w:ascii="Times New Roman" w:hAnsi="Times New Roman"/>
                <w:sz w:val="24"/>
                <w:szCs w:val="24"/>
              </w:rPr>
              <w:t>0,0</w:t>
            </w:r>
          </w:p>
        </w:tc>
        <w:tc>
          <w:tcPr>
            <w:tcW w:w="1984" w:type="dxa"/>
          </w:tcPr>
          <w:p w14:paraId="44F3A4AD" w14:textId="77777777" w:rsidR="0068617B" w:rsidRDefault="0068617B" w:rsidP="0068617B">
            <w:pPr>
              <w:jc w:val="center"/>
              <w:rPr>
                <w:rFonts w:ascii="Times New Roman" w:hAnsi="Times New Roman"/>
                <w:sz w:val="24"/>
                <w:szCs w:val="24"/>
              </w:rPr>
            </w:pPr>
            <w:r>
              <w:rPr>
                <w:rFonts w:ascii="Times New Roman" w:hAnsi="Times New Roman"/>
                <w:sz w:val="24"/>
                <w:szCs w:val="24"/>
              </w:rPr>
              <w:t>0,0</w:t>
            </w:r>
          </w:p>
        </w:tc>
        <w:tc>
          <w:tcPr>
            <w:tcW w:w="1418" w:type="dxa"/>
          </w:tcPr>
          <w:p w14:paraId="520150B8" w14:textId="77777777" w:rsidR="0068617B" w:rsidRDefault="0068617B" w:rsidP="0068617B">
            <w:pPr>
              <w:jc w:val="center"/>
              <w:rPr>
                <w:rFonts w:ascii="Times New Roman" w:hAnsi="Times New Roman"/>
                <w:sz w:val="24"/>
                <w:szCs w:val="24"/>
              </w:rPr>
            </w:pPr>
            <w:r>
              <w:rPr>
                <w:rFonts w:ascii="Times New Roman" w:hAnsi="Times New Roman"/>
                <w:sz w:val="24"/>
                <w:szCs w:val="24"/>
              </w:rPr>
              <w:t>0,0</w:t>
            </w:r>
          </w:p>
        </w:tc>
      </w:tr>
      <w:tr w:rsidR="0068617B" w:rsidRPr="005F2D54" w14:paraId="334C0EE4" w14:textId="77777777" w:rsidTr="00C34702">
        <w:tc>
          <w:tcPr>
            <w:tcW w:w="4962" w:type="dxa"/>
          </w:tcPr>
          <w:p w14:paraId="0793AD9B" w14:textId="2D6C4359" w:rsidR="0068617B" w:rsidRPr="007659AC" w:rsidRDefault="0068617B" w:rsidP="0068617B">
            <w:pPr>
              <w:jc w:val="both"/>
              <w:rPr>
                <w:rFonts w:ascii="Times New Roman" w:hAnsi="Times New Roman"/>
                <w:sz w:val="24"/>
                <w:szCs w:val="24"/>
              </w:rPr>
            </w:pPr>
            <w:r w:rsidRPr="0068617B">
              <w:rPr>
                <w:rFonts w:ascii="Times New Roman" w:hAnsi="Times New Roman"/>
                <w:sz w:val="24"/>
                <w:szCs w:val="24"/>
              </w:rPr>
              <w:t>Размещение подведомственными муниципальными учреждениями сведений на официальном сайте Российской Федерации для размещения информации о государственных (муниципальных) учреждениях bus.gov.ru в соответствии с пунктом 15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её размещения на официальном сайте в сети ин</w:t>
            </w:r>
            <w:r w:rsidR="00AA51C6">
              <w:rPr>
                <w:noProof/>
              </w:rPr>
              <mc:AlternateContent>
                <mc:Choice Requires="wps">
                  <w:drawing>
                    <wp:anchor distT="0" distB="0" distL="114300" distR="114300" simplePos="0" relativeHeight="251659264" behindDoc="0" locked="0" layoutInCell="1" allowOverlap="1" wp14:anchorId="72276C16" wp14:editId="185C711E">
                      <wp:simplePos x="0" y="0"/>
                      <wp:positionH relativeFrom="column">
                        <wp:posOffset>9425305</wp:posOffset>
                      </wp:positionH>
                      <wp:positionV relativeFrom="paragraph">
                        <wp:posOffset>813435</wp:posOffset>
                      </wp:positionV>
                      <wp:extent cx="361950" cy="276225"/>
                      <wp:effectExtent l="0" t="0" r="0" b="0"/>
                      <wp:wrapNone/>
                      <wp:docPr id="43580571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wps:spPr>
                            <wps:txbx>
                              <w:txbxContent>
                                <w:p w14:paraId="2A4B3FAC" w14:textId="77777777" w:rsidR="0068617B" w:rsidRPr="00F01240" w:rsidRDefault="0068617B" w:rsidP="004404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276C16" id="_x0000_t202" coordsize="21600,21600" o:spt="202" path="m,l,21600r21600,l21600,xe">
                      <v:stroke joinstyle="miter"/>
                      <v:path gradientshapeok="t" o:connecttype="rect"/>
                    </v:shapetype>
                    <v:shape id="Надпись 1" o:spid="_x0000_s1026" type="#_x0000_t202" style="position:absolute;left:0;text-align:left;margin-left:742.15pt;margin-top:64.05pt;width:2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" filled="f" stroked="f">
                      <v:textbox>
                        <w:txbxContent>
                          <w:p w14:paraId="2A4B3FAC" w14:textId="77777777" w:rsidR="0068617B" w:rsidRPr="00F01240" w:rsidRDefault="0068617B" w:rsidP="004404CE"/>
                        </w:txbxContent>
                      </v:textbox>
                    </v:shape>
                  </w:pict>
                </mc:Fallback>
              </mc:AlternateContent>
            </w:r>
            <w:r w:rsidRPr="0068617B">
              <w:rPr>
                <w:rFonts w:ascii="Times New Roman" w:hAnsi="Times New Roman"/>
                <w:sz w:val="24"/>
                <w:szCs w:val="24"/>
              </w:rPr>
              <w:t>тернет и ведения указанного сайта»</w:t>
            </w:r>
          </w:p>
        </w:tc>
        <w:tc>
          <w:tcPr>
            <w:tcW w:w="1559" w:type="dxa"/>
          </w:tcPr>
          <w:p w14:paraId="4777D612" w14:textId="77777777" w:rsidR="0068617B" w:rsidRDefault="0068617B" w:rsidP="0068617B">
            <w:pPr>
              <w:jc w:val="center"/>
              <w:rPr>
                <w:rFonts w:ascii="Times New Roman" w:hAnsi="Times New Roman"/>
                <w:sz w:val="24"/>
                <w:szCs w:val="24"/>
              </w:rPr>
            </w:pPr>
            <w:r>
              <w:rPr>
                <w:rFonts w:ascii="Times New Roman" w:hAnsi="Times New Roman"/>
                <w:sz w:val="24"/>
                <w:szCs w:val="24"/>
              </w:rPr>
              <w:t>25,0</w:t>
            </w:r>
          </w:p>
        </w:tc>
        <w:tc>
          <w:tcPr>
            <w:tcW w:w="1984" w:type="dxa"/>
          </w:tcPr>
          <w:p w14:paraId="5B5C444F" w14:textId="77777777" w:rsidR="0068617B" w:rsidRDefault="0068617B" w:rsidP="0068617B">
            <w:pPr>
              <w:jc w:val="center"/>
              <w:rPr>
                <w:rFonts w:ascii="Times New Roman" w:hAnsi="Times New Roman"/>
                <w:sz w:val="24"/>
                <w:szCs w:val="24"/>
              </w:rPr>
            </w:pPr>
            <w:r>
              <w:rPr>
                <w:rFonts w:ascii="Times New Roman" w:hAnsi="Times New Roman"/>
                <w:sz w:val="24"/>
                <w:szCs w:val="24"/>
              </w:rPr>
              <w:t>25,0</w:t>
            </w:r>
          </w:p>
        </w:tc>
        <w:tc>
          <w:tcPr>
            <w:tcW w:w="1418" w:type="dxa"/>
          </w:tcPr>
          <w:p w14:paraId="7DB56762" w14:textId="77777777" w:rsidR="0068617B" w:rsidRDefault="0068617B" w:rsidP="0068617B">
            <w:pPr>
              <w:jc w:val="center"/>
              <w:rPr>
                <w:rFonts w:ascii="Times New Roman" w:hAnsi="Times New Roman"/>
                <w:sz w:val="24"/>
                <w:szCs w:val="24"/>
              </w:rPr>
            </w:pPr>
            <w:r>
              <w:rPr>
                <w:rFonts w:ascii="Times New Roman" w:hAnsi="Times New Roman"/>
                <w:sz w:val="24"/>
                <w:szCs w:val="24"/>
              </w:rPr>
              <w:t>25,0</w:t>
            </w:r>
          </w:p>
        </w:tc>
      </w:tr>
    </w:tbl>
    <w:p w14:paraId="07E41713" w14:textId="77777777" w:rsidR="005F2D54" w:rsidRPr="005F2D54" w:rsidRDefault="005F2D54" w:rsidP="005F2D54">
      <w:pPr>
        <w:ind w:left="927"/>
        <w:jc w:val="center"/>
        <w:rPr>
          <w:rFonts w:ascii="Times New Roman" w:hAnsi="Times New Roman"/>
          <w:sz w:val="24"/>
          <w:szCs w:val="24"/>
        </w:rPr>
      </w:pPr>
    </w:p>
    <w:p w14:paraId="5455EA00" w14:textId="77777777" w:rsidR="005F2D54" w:rsidRPr="00C34702" w:rsidRDefault="005F2D54" w:rsidP="005F2D54">
      <w:pPr>
        <w:jc w:val="both"/>
        <w:rPr>
          <w:rFonts w:ascii="Times New Roman" w:hAnsi="Times New Roman"/>
          <w:sz w:val="28"/>
          <w:szCs w:val="28"/>
        </w:rPr>
      </w:pPr>
      <w:r w:rsidRPr="00C34702">
        <w:rPr>
          <w:rFonts w:ascii="Times New Roman" w:hAnsi="Times New Roman"/>
          <w:sz w:val="28"/>
          <w:szCs w:val="28"/>
        </w:rPr>
        <w:t xml:space="preserve">*Степень качества финансового менеджмента ГАБС присваивается в зависимости от значений интегральных оценок качества финансового менеджмента ГАБС в соответствии со следующей таблицей </w:t>
      </w:r>
    </w:p>
    <w:tbl>
      <w:tblPr>
        <w:tblStyle w:val="a4"/>
        <w:tblW w:w="0" w:type="auto"/>
        <w:tblLook w:val="04A0" w:firstRow="1" w:lastRow="0" w:firstColumn="1" w:lastColumn="0" w:noHBand="0" w:noVBand="1"/>
      </w:tblPr>
      <w:tblGrid>
        <w:gridCol w:w="3582"/>
        <w:gridCol w:w="6097"/>
      </w:tblGrid>
      <w:tr w:rsidR="005F2D54" w:rsidRPr="00C34702" w14:paraId="4D007F97" w14:textId="77777777" w:rsidTr="00C34702">
        <w:tc>
          <w:tcPr>
            <w:tcW w:w="3652" w:type="dxa"/>
          </w:tcPr>
          <w:p w14:paraId="7EFEE161" w14:textId="77777777" w:rsidR="005F2D54" w:rsidRPr="00C34702" w:rsidRDefault="005F2D54" w:rsidP="005F2D54">
            <w:pPr>
              <w:jc w:val="both"/>
              <w:rPr>
                <w:rFonts w:ascii="Times New Roman" w:hAnsi="Times New Roman"/>
                <w:sz w:val="24"/>
                <w:szCs w:val="24"/>
              </w:rPr>
            </w:pPr>
            <w:r w:rsidRPr="00C34702">
              <w:rPr>
                <w:rFonts w:ascii="Times New Roman" w:hAnsi="Times New Roman"/>
                <w:sz w:val="24"/>
                <w:szCs w:val="24"/>
              </w:rPr>
              <w:lastRenderedPageBreak/>
              <w:t>Интервалы интегральной оценки</w:t>
            </w:r>
          </w:p>
        </w:tc>
        <w:tc>
          <w:tcPr>
            <w:tcW w:w="6253" w:type="dxa"/>
          </w:tcPr>
          <w:p w14:paraId="13194F36" w14:textId="77777777" w:rsidR="005F2D54" w:rsidRPr="00C34702" w:rsidRDefault="00C34702" w:rsidP="005F2D54">
            <w:pPr>
              <w:jc w:val="both"/>
              <w:rPr>
                <w:rFonts w:ascii="Times New Roman" w:hAnsi="Times New Roman"/>
                <w:sz w:val="24"/>
                <w:szCs w:val="24"/>
              </w:rPr>
            </w:pPr>
            <w:r w:rsidRPr="00C34702">
              <w:rPr>
                <w:rFonts w:ascii="Times New Roman" w:hAnsi="Times New Roman"/>
                <w:sz w:val="24"/>
                <w:szCs w:val="24"/>
              </w:rPr>
              <w:t>Степень качества финансового менеджмента</w:t>
            </w:r>
          </w:p>
        </w:tc>
      </w:tr>
      <w:tr w:rsidR="005F2D54" w:rsidRPr="00C34702" w14:paraId="0970B621" w14:textId="77777777" w:rsidTr="00C34702">
        <w:tc>
          <w:tcPr>
            <w:tcW w:w="3652" w:type="dxa"/>
          </w:tcPr>
          <w:p w14:paraId="272BADCE" w14:textId="77777777" w:rsidR="005F2D54" w:rsidRPr="00C34702" w:rsidRDefault="00C34702" w:rsidP="005F2D54">
            <w:pPr>
              <w:jc w:val="both"/>
              <w:rPr>
                <w:rFonts w:ascii="Times New Roman" w:hAnsi="Times New Roman"/>
                <w:sz w:val="24"/>
                <w:szCs w:val="24"/>
              </w:rPr>
            </w:pPr>
            <w:r w:rsidRPr="00C34702">
              <w:rPr>
                <w:rFonts w:ascii="Times New Roman" w:hAnsi="Times New Roman"/>
                <w:sz w:val="24"/>
                <w:szCs w:val="24"/>
                <w:lang w:val="en-US"/>
              </w:rPr>
              <w:t>E</w:t>
            </w:r>
            <w:r w:rsidRPr="00C34702">
              <w:rPr>
                <w:rFonts w:ascii="Cambria Math" w:hAnsi="Cambria Math"/>
                <w:sz w:val="24"/>
                <w:szCs w:val="24"/>
                <w:lang w:val="en-US"/>
              </w:rPr>
              <w:t>&gt;</w:t>
            </w:r>
            <w:r w:rsidRPr="00C34702">
              <w:rPr>
                <w:rFonts w:ascii="Times New Roman" w:hAnsi="Times New Roman"/>
                <w:sz w:val="24"/>
                <w:szCs w:val="24"/>
              </w:rPr>
              <w:t>85</w:t>
            </w:r>
          </w:p>
        </w:tc>
        <w:tc>
          <w:tcPr>
            <w:tcW w:w="6253" w:type="dxa"/>
          </w:tcPr>
          <w:p w14:paraId="51B78B88" w14:textId="77777777" w:rsidR="005F2D54" w:rsidRPr="00C34702" w:rsidRDefault="00C34702" w:rsidP="005F2D54">
            <w:pPr>
              <w:jc w:val="both"/>
              <w:rPr>
                <w:rFonts w:ascii="Times New Roman" w:hAnsi="Times New Roman"/>
                <w:sz w:val="24"/>
                <w:szCs w:val="24"/>
              </w:rPr>
            </w:pPr>
            <w:r w:rsidRPr="00C34702">
              <w:rPr>
                <w:rFonts w:ascii="Times New Roman" w:hAnsi="Times New Roman"/>
                <w:sz w:val="24"/>
                <w:szCs w:val="24"/>
                <w:lang w:val="en-US"/>
              </w:rPr>
              <w:t>I</w:t>
            </w:r>
            <w:r w:rsidRPr="00C34702">
              <w:rPr>
                <w:rFonts w:ascii="Times New Roman" w:hAnsi="Times New Roman"/>
                <w:sz w:val="24"/>
                <w:szCs w:val="24"/>
              </w:rPr>
              <w:t xml:space="preserve"> – высокое качество финансового менеджмента</w:t>
            </w:r>
          </w:p>
        </w:tc>
      </w:tr>
      <w:tr w:rsidR="005F2D54" w:rsidRPr="00C34702" w14:paraId="5769DBAD" w14:textId="77777777" w:rsidTr="00C34702">
        <w:tc>
          <w:tcPr>
            <w:tcW w:w="3652" w:type="dxa"/>
          </w:tcPr>
          <w:p w14:paraId="4407BBAC" w14:textId="77777777" w:rsidR="005F2D54" w:rsidRPr="00C34702" w:rsidRDefault="00C34702" w:rsidP="005F2D54">
            <w:pPr>
              <w:jc w:val="both"/>
              <w:rPr>
                <w:rFonts w:ascii="Times New Roman" w:hAnsi="Times New Roman"/>
                <w:sz w:val="24"/>
                <w:szCs w:val="24"/>
                <w:lang w:val="en-US"/>
              </w:rPr>
            </w:pPr>
            <w:r w:rsidRPr="00C34702">
              <w:rPr>
                <w:rFonts w:ascii="Times New Roman" w:hAnsi="Times New Roman"/>
                <w:sz w:val="24"/>
                <w:szCs w:val="24"/>
              </w:rPr>
              <w:t>70</w:t>
            </w:r>
            <w:r w:rsidRPr="00C34702">
              <w:rPr>
                <w:rFonts w:ascii="Cambria Math" w:hAnsi="Cambria Math"/>
                <w:sz w:val="24"/>
                <w:szCs w:val="24"/>
              </w:rPr>
              <w:t>&lt;</w:t>
            </w:r>
            <w:r w:rsidRPr="00C34702">
              <w:rPr>
                <w:rFonts w:ascii="Cambria Math" w:hAnsi="Cambria Math"/>
                <w:sz w:val="24"/>
                <w:szCs w:val="24"/>
                <w:lang w:val="en-US"/>
              </w:rPr>
              <w:t>E≤85</w:t>
            </w:r>
          </w:p>
        </w:tc>
        <w:tc>
          <w:tcPr>
            <w:tcW w:w="6253" w:type="dxa"/>
          </w:tcPr>
          <w:p w14:paraId="77B78B59" w14:textId="77777777" w:rsidR="005F2D54" w:rsidRPr="00C34702" w:rsidRDefault="00C34702" w:rsidP="005F2D54">
            <w:pPr>
              <w:jc w:val="both"/>
              <w:rPr>
                <w:rFonts w:ascii="Times New Roman" w:hAnsi="Times New Roman"/>
                <w:sz w:val="24"/>
                <w:szCs w:val="24"/>
              </w:rPr>
            </w:pPr>
            <w:r w:rsidRPr="00C34702">
              <w:rPr>
                <w:rFonts w:ascii="Times New Roman" w:hAnsi="Times New Roman"/>
                <w:sz w:val="24"/>
                <w:szCs w:val="24"/>
                <w:lang w:val="en-US"/>
              </w:rPr>
              <w:t>II</w:t>
            </w:r>
            <w:r w:rsidRPr="00C34702">
              <w:rPr>
                <w:rFonts w:ascii="Times New Roman" w:hAnsi="Times New Roman"/>
                <w:sz w:val="24"/>
                <w:szCs w:val="24"/>
              </w:rPr>
              <w:t xml:space="preserve"> – надлежащее качество финансового менеджмента</w:t>
            </w:r>
          </w:p>
        </w:tc>
      </w:tr>
      <w:tr w:rsidR="005F2D54" w:rsidRPr="00C34702" w14:paraId="22B489CC" w14:textId="77777777" w:rsidTr="00C34702">
        <w:tc>
          <w:tcPr>
            <w:tcW w:w="3652" w:type="dxa"/>
          </w:tcPr>
          <w:p w14:paraId="131D6FEA" w14:textId="77777777" w:rsidR="005F2D54" w:rsidRPr="00C34702" w:rsidRDefault="00C34702" w:rsidP="005F2D54">
            <w:pPr>
              <w:jc w:val="both"/>
              <w:rPr>
                <w:rFonts w:ascii="Times New Roman" w:hAnsi="Times New Roman"/>
                <w:sz w:val="24"/>
                <w:szCs w:val="24"/>
                <w:lang w:val="en-US"/>
              </w:rPr>
            </w:pPr>
            <w:r w:rsidRPr="00C34702">
              <w:rPr>
                <w:rFonts w:ascii="Times New Roman" w:hAnsi="Times New Roman"/>
                <w:sz w:val="24"/>
                <w:szCs w:val="24"/>
                <w:lang w:val="en-US"/>
              </w:rPr>
              <w:t>E</w:t>
            </w:r>
            <w:r w:rsidRPr="00C34702">
              <w:rPr>
                <w:rFonts w:ascii="Cambria Math" w:hAnsi="Cambria Math"/>
                <w:sz w:val="24"/>
                <w:szCs w:val="24"/>
                <w:lang w:val="en-US"/>
              </w:rPr>
              <w:t>≤</w:t>
            </w:r>
            <w:r w:rsidRPr="00C34702">
              <w:rPr>
                <w:rFonts w:ascii="Times New Roman" w:hAnsi="Times New Roman"/>
                <w:sz w:val="24"/>
                <w:szCs w:val="24"/>
                <w:lang w:val="en-US"/>
              </w:rPr>
              <w:t>70</w:t>
            </w:r>
          </w:p>
        </w:tc>
        <w:tc>
          <w:tcPr>
            <w:tcW w:w="6253" w:type="dxa"/>
          </w:tcPr>
          <w:p w14:paraId="6B5B2558" w14:textId="77777777" w:rsidR="005F2D54" w:rsidRPr="00C34702" w:rsidRDefault="00C34702" w:rsidP="005F2D54">
            <w:pPr>
              <w:jc w:val="both"/>
              <w:rPr>
                <w:rFonts w:ascii="Times New Roman" w:hAnsi="Times New Roman"/>
                <w:sz w:val="24"/>
                <w:szCs w:val="24"/>
              </w:rPr>
            </w:pPr>
            <w:r w:rsidRPr="00C34702">
              <w:rPr>
                <w:rFonts w:ascii="Times New Roman" w:hAnsi="Times New Roman"/>
                <w:sz w:val="24"/>
                <w:szCs w:val="24"/>
                <w:lang w:val="en-US"/>
              </w:rPr>
              <w:t>III</w:t>
            </w:r>
            <w:r w:rsidRPr="00C34702">
              <w:rPr>
                <w:rFonts w:ascii="Times New Roman" w:hAnsi="Times New Roman"/>
                <w:sz w:val="24"/>
                <w:szCs w:val="24"/>
              </w:rPr>
              <w:t xml:space="preserve"> – ненадлежащее качество финансового менеджмента</w:t>
            </w:r>
          </w:p>
        </w:tc>
      </w:tr>
    </w:tbl>
    <w:p w14:paraId="03170F16" w14:textId="77777777" w:rsidR="005F2D54" w:rsidRDefault="005F2D54" w:rsidP="005F2D54">
      <w:pPr>
        <w:jc w:val="both"/>
        <w:rPr>
          <w:rFonts w:ascii="Times New Roman" w:hAnsi="Times New Roman"/>
          <w:sz w:val="24"/>
          <w:szCs w:val="24"/>
        </w:rPr>
      </w:pPr>
    </w:p>
    <w:p w14:paraId="26AA6668" w14:textId="77777777" w:rsidR="00DB6A73" w:rsidRPr="0068617B" w:rsidRDefault="00DB6A73" w:rsidP="0068617B">
      <w:pPr>
        <w:ind w:hanging="284"/>
        <w:jc w:val="center"/>
        <w:rPr>
          <w:rFonts w:ascii="Times New Roman" w:hAnsi="Times New Roman"/>
          <w:sz w:val="28"/>
          <w:szCs w:val="28"/>
        </w:rPr>
      </w:pPr>
      <w:r w:rsidRPr="0068617B">
        <w:rPr>
          <w:rFonts w:ascii="Times New Roman" w:hAnsi="Times New Roman"/>
          <w:sz w:val="28"/>
          <w:szCs w:val="28"/>
        </w:rPr>
        <w:t>Начальник отдела финансового управления                        В.А. Туманов</w:t>
      </w:r>
    </w:p>
    <w:sectPr w:rsidR="00DB6A73" w:rsidRPr="0068617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6DE5"/>
    <w:multiLevelType w:val="hybridMultilevel"/>
    <w:tmpl w:val="FFFFFFFF"/>
    <w:lvl w:ilvl="0" w:tplc="4AF867C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38746D53"/>
    <w:multiLevelType w:val="hybridMultilevel"/>
    <w:tmpl w:val="FFFFFFFF"/>
    <w:lvl w:ilvl="0" w:tplc="EDF45EC2">
      <w:numFmt w:val="bullet"/>
      <w:lvlText w:val=""/>
      <w:lvlJc w:val="left"/>
      <w:pPr>
        <w:ind w:left="1287" w:hanging="360"/>
      </w:pPr>
      <w:rPr>
        <w:rFonts w:ascii="Symbol" w:eastAsiaTheme="minorEastAsia"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2424692"/>
    <w:multiLevelType w:val="hybridMultilevel"/>
    <w:tmpl w:val="FFFFFFFF"/>
    <w:lvl w:ilvl="0" w:tplc="94C24C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16cid:durableId="1624070114">
    <w:abstractNumId w:val="2"/>
  </w:num>
  <w:num w:numId="2" w16cid:durableId="1279525028">
    <w:abstractNumId w:val="0"/>
  </w:num>
  <w:num w:numId="3" w16cid:durableId="1310280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E3"/>
    <w:rsid w:val="000A2EE3"/>
    <w:rsid w:val="000C7A29"/>
    <w:rsid w:val="001A3077"/>
    <w:rsid w:val="002A54A1"/>
    <w:rsid w:val="003A3A42"/>
    <w:rsid w:val="004404CE"/>
    <w:rsid w:val="00453ED8"/>
    <w:rsid w:val="005F2D54"/>
    <w:rsid w:val="0068617B"/>
    <w:rsid w:val="006B5EE6"/>
    <w:rsid w:val="00736656"/>
    <w:rsid w:val="007659AC"/>
    <w:rsid w:val="007664E8"/>
    <w:rsid w:val="007A4D45"/>
    <w:rsid w:val="007F10E5"/>
    <w:rsid w:val="00AA51C6"/>
    <w:rsid w:val="00AB3DD6"/>
    <w:rsid w:val="00C34702"/>
    <w:rsid w:val="00CA6963"/>
    <w:rsid w:val="00D70BC3"/>
    <w:rsid w:val="00D84597"/>
    <w:rsid w:val="00DB6A73"/>
    <w:rsid w:val="00E97750"/>
    <w:rsid w:val="00F0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23C8E"/>
  <w14:defaultImageDpi w14:val="0"/>
  <w15:docId w15:val="{3D640E84-35D2-44D2-8035-C8A287A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2EE3"/>
    <w:rPr>
      <w:rFonts w:cs="Times New Roman"/>
      <w:color w:val="0000FF"/>
      <w:u w:val="single"/>
    </w:rPr>
  </w:style>
  <w:style w:type="table" w:styleId="a4">
    <w:name w:val="Table Grid"/>
    <w:basedOn w:val="a1"/>
    <w:uiPriority w:val="39"/>
    <w:rsid w:val="005F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260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Ast</dc:creator>
  <cp:keywords/>
  <dc:description/>
  <cp:lastModifiedBy>Анастасия Смирнова</cp:lastModifiedBy>
  <cp:revision>2</cp:revision>
  <cp:lastPrinted>2023-05-03T10:41:00Z</cp:lastPrinted>
  <dcterms:created xsi:type="dcterms:W3CDTF">2024-02-14T07:59:00Z</dcterms:created>
  <dcterms:modified xsi:type="dcterms:W3CDTF">2024-02-14T07:59:00Z</dcterms:modified>
</cp:coreProperties>
</file>