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E7" w:rsidRDefault="00B658E7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BF5" w:rsidRDefault="00711BF5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BF5" w:rsidRDefault="00711BF5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BF5" w:rsidRPr="00E17D86" w:rsidRDefault="00711BF5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388F" w:rsidRPr="00711BF5" w:rsidRDefault="00711BF5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11BF5">
        <w:rPr>
          <w:rFonts w:ascii="Times New Roman" w:eastAsia="Times New Roman" w:hAnsi="Times New Roman" w:cs="Times New Roman"/>
          <w:b/>
          <w:noProof/>
          <w:sz w:val="32"/>
          <w:szCs w:val="24"/>
        </w:rPr>
        <w:t>Г Е Р Б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711BF5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20.11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Pr="00711BF5">
        <w:rPr>
          <w:rFonts w:ascii="Times New Roman" w:eastAsia="Times New Roman" w:hAnsi="Times New Roman" w:cs="Times New Roman"/>
          <w:sz w:val="28"/>
          <w:szCs w:val="28"/>
          <w:u w:val="single"/>
        </w:rPr>
        <w:t>285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98388F">
        <w:rPr>
          <w:rFonts w:ascii="Times New Roman" w:eastAsia="Times New Roman" w:hAnsi="Times New Roman" w:cs="Times New Roman"/>
          <w:sz w:val="28"/>
          <w:szCs w:val="28"/>
        </w:rPr>
        <w:t>Мурино</w:t>
      </w:r>
      <w:proofErr w:type="spellEnd"/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CBC" w:rsidRDefault="00117BEF" w:rsidP="00117BEF">
      <w:pPr>
        <w:tabs>
          <w:tab w:val="left" w:pos="4536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разработки, корректировки, осуществления мониторинга реализа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ции и оценки качества прогноза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среднесрочный период</w:t>
      </w:r>
    </w:p>
    <w:p w:rsidR="00117BEF" w:rsidRDefault="00117BEF" w:rsidP="00362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996A37" w:rsidP="00117B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173 Бюджетного кодека Российской Федерации, Федеральным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от 06.10.2003 № 131-ФЗ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от 28.06.2014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362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</w:t>
      </w:r>
      <w:proofErr w:type="spellStart"/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:rsidR="007656B2" w:rsidRDefault="007656B2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Default="00117BEF" w:rsidP="00117BEF">
      <w:pPr>
        <w:pStyle w:val="a3"/>
        <w:numPr>
          <w:ilvl w:val="0"/>
          <w:numId w:val="4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Порядок разработки, корректировки, осуществления мониторинга реализации и оценки качества прогноза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среднесрочный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117BEF" w:rsidRDefault="00117BEF" w:rsidP="00117BEF">
      <w:pPr>
        <w:pStyle w:val="a3"/>
        <w:numPr>
          <w:ilvl w:val="0"/>
          <w:numId w:val="4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Муринская</w:t>
      </w:r>
      <w:proofErr w:type="spellEnd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панорама», а также 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117BEF">
      <w:pPr>
        <w:pStyle w:val="a3"/>
        <w:numPr>
          <w:ilvl w:val="0"/>
          <w:numId w:val="4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Настоящее постановление вступает в силу с момента его официального опубликования.</w:t>
      </w:r>
    </w:p>
    <w:p w:rsidR="00117BEF" w:rsidRPr="00117BEF" w:rsidRDefault="00117BEF" w:rsidP="00117BEF">
      <w:pPr>
        <w:pStyle w:val="a3"/>
        <w:numPr>
          <w:ilvl w:val="0"/>
          <w:numId w:val="4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Лёвину Г.В. </w:t>
      </w:r>
    </w:p>
    <w:p w:rsidR="00117BEF" w:rsidRPr="00117BEF" w:rsidRDefault="00117BEF" w:rsidP="00117BE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3F29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AEF" w:rsidRDefault="00136A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Pr="00F939C9" w:rsidRDefault="00117BEF" w:rsidP="00117B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proofErr w:type="spellStart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proofErr w:type="spellEnd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 Всеволожского муниципального района Ленинградской области 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711BF5">
        <w:rPr>
          <w:rFonts w:ascii="Times New Roman" w:eastAsia="Times New Roman" w:hAnsi="Times New Roman" w:cs="Times New Roman"/>
          <w:sz w:val="24"/>
          <w:szCs w:val="24"/>
          <w:lang w:eastAsia="ar-SA"/>
        </w:rPr>
        <w:t>285</w:t>
      </w: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711BF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711B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bookmarkStart w:id="0" w:name="_GoBack"/>
      <w:bookmarkEnd w:id="0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г.</w:t>
      </w: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117BEF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</w:t>
      </w:r>
    </w:p>
    <w:p w:rsidR="00117BEF" w:rsidRPr="00C05AF0" w:rsidRDefault="00117BEF" w:rsidP="00117BE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C05AF0">
        <w:rPr>
          <w:rFonts w:ascii="Times New Roman" w:hAnsi="Times New Roman" w:cs="Times New Roman"/>
          <w:color w:val="000000" w:themeColor="text1"/>
        </w:rPr>
        <w:t xml:space="preserve"> разработки, корректировки, осуществления мониторинга реализации и оценки качества прогноза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05AF0">
        <w:rPr>
          <w:rFonts w:ascii="Times New Roman" w:hAnsi="Times New Roman" w:cs="Times New Roman"/>
          <w:color w:val="000000" w:themeColor="text1"/>
        </w:rPr>
        <w:t xml:space="preserve">социально-экономического развития </w:t>
      </w:r>
      <w:r>
        <w:rPr>
          <w:rFonts w:ascii="Times New Roman" w:hAnsi="Times New Roman" w:cs="Times New Roman"/>
          <w:color w:val="000000" w:themeColor="text1"/>
        </w:rPr>
        <w:t>МО «</w:t>
      </w:r>
      <w:proofErr w:type="spellStart"/>
      <w:r>
        <w:rPr>
          <w:rFonts w:ascii="Times New Roman" w:hAnsi="Times New Roman" w:cs="Times New Roman"/>
          <w:color w:val="000000" w:themeColor="text1"/>
        </w:rPr>
        <w:t>Муриснкое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городское поселение» Всеволожского муниципального района</w:t>
      </w:r>
      <w:r w:rsidRPr="00C05AF0">
        <w:rPr>
          <w:rFonts w:ascii="Times New Roman" w:hAnsi="Times New Roman" w:cs="Times New Roman"/>
          <w:color w:val="000000" w:themeColor="text1"/>
        </w:rPr>
        <w:t xml:space="preserve"> Ленинградской </w:t>
      </w:r>
      <w:r>
        <w:rPr>
          <w:rFonts w:ascii="Times New Roman" w:hAnsi="Times New Roman" w:cs="Times New Roman"/>
          <w:color w:val="000000" w:themeColor="text1"/>
        </w:rPr>
        <w:t>области на среднесрочный период</w:t>
      </w:r>
    </w:p>
    <w:p w:rsidR="00117BEF" w:rsidRPr="002A63E7" w:rsidRDefault="00117BEF" w:rsidP="0011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BEF" w:rsidRDefault="00117BEF" w:rsidP="00BA1D72">
      <w:pPr>
        <w:pStyle w:val="ConsPlusTitle"/>
        <w:numPr>
          <w:ilvl w:val="0"/>
          <w:numId w:val="5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1D72" w:rsidRPr="002A63E7" w:rsidRDefault="00BA1D72" w:rsidP="00BA1D72">
      <w:pPr>
        <w:pStyle w:val="ConsPlusTitle"/>
        <w:ind w:left="1429"/>
        <w:outlineLvl w:val="1"/>
        <w:rPr>
          <w:rFonts w:ascii="Times New Roman" w:hAnsi="Times New Roman" w:cs="Times New Roman"/>
          <w:sz w:val="28"/>
          <w:szCs w:val="28"/>
        </w:rPr>
      </w:pPr>
    </w:p>
    <w:p w:rsidR="00117BEF" w:rsidRPr="00B5132D" w:rsidRDefault="00117BEF" w:rsidP="00117BEF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B5132D">
        <w:rPr>
          <w:sz w:val="28"/>
          <w:szCs w:val="28"/>
        </w:rPr>
        <w:t xml:space="preserve">Настоящий Порядок разработки прогноза социально-экономического развития </w:t>
      </w:r>
      <w:r w:rsidR="00996A37">
        <w:rPr>
          <w:sz w:val="28"/>
          <w:szCs w:val="28"/>
        </w:rPr>
        <w:t>МО</w:t>
      </w:r>
      <w:r>
        <w:rPr>
          <w:sz w:val="28"/>
          <w:szCs w:val="28"/>
        </w:rPr>
        <w:t xml:space="preserve"> «</w:t>
      </w:r>
      <w:proofErr w:type="spellStart"/>
      <w:r w:rsidR="00996A37"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</w:t>
      </w:r>
      <w:r w:rsidRPr="00B5132D">
        <w:rPr>
          <w:sz w:val="28"/>
          <w:szCs w:val="28"/>
        </w:rPr>
        <w:t xml:space="preserve"> Ленинградской области на среднесрочный период</w:t>
      </w:r>
      <w:r w:rsidR="00996A37">
        <w:rPr>
          <w:sz w:val="28"/>
          <w:szCs w:val="28"/>
        </w:rPr>
        <w:t xml:space="preserve"> </w:t>
      </w:r>
      <w:r w:rsidRPr="00B5132D">
        <w:rPr>
          <w:sz w:val="28"/>
          <w:szCs w:val="28"/>
        </w:rPr>
        <w:t xml:space="preserve">(далее – прогноз) определяет сроки, варианты, показатели прогноза социально-экономического развития </w:t>
      </w:r>
      <w:r w:rsidR="00996A37">
        <w:rPr>
          <w:sz w:val="28"/>
          <w:szCs w:val="28"/>
        </w:rPr>
        <w:t>МО</w:t>
      </w:r>
      <w:r>
        <w:rPr>
          <w:sz w:val="28"/>
          <w:szCs w:val="28"/>
        </w:rPr>
        <w:t xml:space="preserve"> «</w:t>
      </w:r>
      <w:proofErr w:type="spellStart"/>
      <w:r w:rsidR="00996A37"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</w:t>
      </w:r>
      <w:r w:rsidRPr="00B5132D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B5132D">
        <w:rPr>
          <w:sz w:val="28"/>
          <w:szCs w:val="28"/>
        </w:rPr>
        <w:t>, исполнителей и их взаимоотношения.</w:t>
      </w:r>
    </w:p>
    <w:p w:rsidR="00117BEF" w:rsidRPr="00B5132D" w:rsidRDefault="00117BEF" w:rsidP="00117BEF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B5132D">
        <w:rPr>
          <w:sz w:val="28"/>
          <w:szCs w:val="28"/>
        </w:rPr>
        <w:t xml:space="preserve">Прогноз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B5132D">
        <w:rPr>
          <w:sz w:val="28"/>
          <w:szCs w:val="28"/>
        </w:rPr>
        <w:t>на очередной финансовый год и на плановый период.</w:t>
      </w:r>
    </w:p>
    <w:p w:rsidR="00117BEF" w:rsidRPr="00EF5B89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  <w:r w:rsidRPr="00EF5B89">
        <w:rPr>
          <w:sz w:val="28"/>
          <w:szCs w:val="28"/>
        </w:rPr>
        <w:t>Разработка прогноза осуществляется в соответствии со ст</w:t>
      </w:r>
      <w:r w:rsidR="00A67E7E">
        <w:rPr>
          <w:sz w:val="28"/>
          <w:szCs w:val="28"/>
        </w:rPr>
        <w:t>.</w:t>
      </w:r>
      <w:r w:rsidRPr="00EF5B89">
        <w:rPr>
          <w:sz w:val="28"/>
          <w:szCs w:val="28"/>
        </w:rPr>
        <w:t>173</w:t>
      </w:r>
      <w:r w:rsidR="00996A37">
        <w:rPr>
          <w:sz w:val="28"/>
          <w:szCs w:val="28"/>
        </w:rPr>
        <w:t xml:space="preserve"> </w:t>
      </w:r>
      <w:r w:rsidRPr="00EF5B89">
        <w:rPr>
          <w:sz w:val="28"/>
          <w:szCs w:val="28"/>
        </w:rPr>
        <w:t xml:space="preserve">Бюджетного кодекса Российской Федерации. </w:t>
      </w:r>
      <w:r>
        <w:rPr>
          <w:sz w:val="28"/>
          <w:szCs w:val="28"/>
        </w:rPr>
        <w:t>П</w:t>
      </w:r>
      <w:r w:rsidRPr="001A6E17">
        <w:rPr>
          <w:sz w:val="28"/>
          <w:szCs w:val="28"/>
        </w:rPr>
        <w:t>рогноз социально-экономического развития на очередной финансовый год и плановый период разрабатывается пут</w:t>
      </w:r>
      <w:r w:rsidR="00996A37">
        <w:rPr>
          <w:sz w:val="28"/>
          <w:szCs w:val="28"/>
        </w:rPr>
        <w:t>ё</w:t>
      </w:r>
      <w:r w:rsidRPr="001A6E17">
        <w:rPr>
          <w:sz w:val="28"/>
          <w:szCs w:val="28"/>
        </w:rPr>
        <w:t>м уточнения параметров планового периода и добавления параметров второго года планового периода (метод «скользящих передвижек»).</w:t>
      </w:r>
    </w:p>
    <w:p w:rsidR="00117BEF" w:rsidRPr="007656B2" w:rsidRDefault="00117BEF" w:rsidP="007656B2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EF5B89">
        <w:rPr>
          <w:sz w:val="28"/>
          <w:szCs w:val="28"/>
        </w:rPr>
        <w:t xml:space="preserve">Прогноз </w:t>
      </w:r>
      <w:r w:rsidRPr="007656B2">
        <w:rPr>
          <w:sz w:val="28"/>
          <w:szCs w:val="28"/>
        </w:rPr>
        <w:t>ориентируется на потребности составления проекта бюджета муниципального образования</w:t>
      </w:r>
      <w:r w:rsidR="00CD4FBB" w:rsidRPr="007656B2">
        <w:rPr>
          <w:sz w:val="28"/>
          <w:szCs w:val="28"/>
        </w:rPr>
        <w:t>,</w:t>
      </w:r>
      <w:r w:rsidRPr="007656B2">
        <w:rPr>
          <w:sz w:val="28"/>
          <w:szCs w:val="28"/>
        </w:rPr>
        <w:t xml:space="preserve"> определяет направления и ожидаемые результаты социально-экономического развития в среднесрочной перспективе, направления и ожидаемые результаты социально-экономического развития в среднесрочной перспективе, формирует единую основу для корректировки муниципальных программ</w:t>
      </w:r>
      <w:r w:rsidR="00BA1D72" w:rsidRPr="007656B2">
        <w:rPr>
          <w:sz w:val="28"/>
          <w:szCs w:val="28"/>
        </w:rPr>
        <w:t xml:space="preserve"> </w:t>
      </w:r>
      <w:r w:rsidRPr="007656B2">
        <w:rPr>
          <w:sz w:val="28"/>
          <w:szCs w:val="28"/>
        </w:rPr>
        <w:t xml:space="preserve">и иных программно-плановых документов муниципального образования. </w:t>
      </w:r>
    </w:p>
    <w:p w:rsidR="00117BEF" w:rsidRDefault="00117BEF" w:rsidP="00117BEF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EF5B89">
        <w:rPr>
          <w:sz w:val="28"/>
          <w:szCs w:val="28"/>
        </w:rPr>
        <w:t>Прогноз разрабатывается в виде отдельного документа стратегического планирования каждый год на срок продолжительностью не менее тр</w:t>
      </w:r>
      <w:r w:rsidR="00BA1D72">
        <w:rPr>
          <w:sz w:val="28"/>
          <w:szCs w:val="28"/>
        </w:rPr>
        <w:t>ё</w:t>
      </w:r>
      <w:r w:rsidRPr="00EF5B89">
        <w:rPr>
          <w:sz w:val="28"/>
          <w:szCs w:val="28"/>
        </w:rPr>
        <w:t xml:space="preserve">х лет на основе прогноза социально-экономического развития Российской Федерации на среднесрочный период, прогноза социально-экономического развития Ленинградской области на среднесрочный период, итогов социально-экономического развития за предыдущий год, планов (прогнозов) производственной (финансово–хозяйственной) деятельности </w:t>
      </w:r>
      <w:r w:rsidRPr="00EF5B89">
        <w:rPr>
          <w:sz w:val="28"/>
          <w:szCs w:val="28"/>
        </w:rPr>
        <w:lastRenderedPageBreak/>
        <w:t xml:space="preserve">наиболее значимых предприятий </w:t>
      </w:r>
      <w:r>
        <w:rPr>
          <w:sz w:val="28"/>
          <w:szCs w:val="28"/>
        </w:rPr>
        <w:t xml:space="preserve">муниципального образования </w:t>
      </w:r>
      <w:r w:rsidRPr="00EF5B89">
        <w:rPr>
          <w:sz w:val="28"/>
          <w:szCs w:val="28"/>
        </w:rPr>
        <w:t>на среднесрочную перспективу.</w:t>
      </w:r>
    </w:p>
    <w:p w:rsidR="00117BEF" w:rsidRPr="00DC0946" w:rsidRDefault="00117BEF" w:rsidP="00117BEF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DC0946">
        <w:rPr>
          <w:sz w:val="28"/>
          <w:szCs w:val="28"/>
        </w:rPr>
        <w:t xml:space="preserve">Прогноз разрабатывается в базовом варианте, характеризует основные тенденции и параметры развития экономики в условиях изменения внешних и внутренних условий. </w:t>
      </w:r>
    </w:p>
    <w:p w:rsidR="00117BEF" w:rsidRPr="008F40AC" w:rsidRDefault="00117BEF" w:rsidP="00117BE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Стоимостные показатели прогнозируемого периода рассчитываются </w:t>
      </w:r>
      <w:r>
        <w:rPr>
          <w:sz w:val="28"/>
          <w:szCs w:val="28"/>
        </w:rPr>
        <w:br/>
        <w:t>с уч</w:t>
      </w:r>
      <w:r w:rsidR="00BA1D72">
        <w:rPr>
          <w:sz w:val="28"/>
          <w:szCs w:val="28"/>
        </w:rPr>
        <w:t>ё</w:t>
      </w:r>
      <w:r>
        <w:rPr>
          <w:sz w:val="28"/>
          <w:szCs w:val="28"/>
        </w:rPr>
        <w:t>том изменения ценовых параметров (в действующих ценах): динамики индексов цен</w:t>
      </w:r>
      <w:r w:rsidR="00BA1D72">
        <w:rPr>
          <w:sz w:val="28"/>
          <w:szCs w:val="28"/>
        </w:rPr>
        <w:t xml:space="preserve"> </w:t>
      </w:r>
      <w:r>
        <w:rPr>
          <w:sz w:val="28"/>
          <w:szCs w:val="28"/>
        </w:rPr>
        <w:t>и индексов-дефляторов цен.</w:t>
      </w:r>
    </w:p>
    <w:p w:rsidR="00117BEF" w:rsidRPr="00CE4F6B" w:rsidRDefault="00117BEF" w:rsidP="00117BEF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Прогноз формируется из двух разделов. </w:t>
      </w:r>
    </w:p>
    <w:p w:rsidR="00117BEF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Первый раздел включает таблицу со значениями основных вариантов прогнозируемых показателей, отражающих предполагаемое состояние </w:t>
      </w:r>
      <w:r>
        <w:rPr>
          <w:sz w:val="28"/>
          <w:szCs w:val="28"/>
        </w:rPr>
        <w:t xml:space="preserve">муниципального образования </w:t>
      </w:r>
      <w:r w:rsidRPr="00CE4F6B">
        <w:rPr>
          <w:sz w:val="28"/>
          <w:szCs w:val="28"/>
        </w:rPr>
        <w:t>по важнейшим направлениям развития (демография, промышленность, сельское хозяйство и пр.). При определении значений прогнозируемых показателей учитываются перспективы финансово-хозяйственной деятельности наиболее значимых промышленных предприятий, предприяти</w:t>
      </w:r>
      <w:r w:rsidR="00BA1D72">
        <w:rPr>
          <w:sz w:val="28"/>
          <w:szCs w:val="28"/>
        </w:rPr>
        <w:t>й</w:t>
      </w:r>
      <w:r w:rsidRPr="00CE4F6B">
        <w:rPr>
          <w:sz w:val="28"/>
          <w:szCs w:val="28"/>
        </w:rPr>
        <w:t xml:space="preserve"> транспорта, строительства, сельского хозяйства и потребительского рынка (вносящих существенный вклад в развитие как </w:t>
      </w:r>
      <w:r>
        <w:rPr>
          <w:sz w:val="28"/>
          <w:szCs w:val="28"/>
        </w:rPr>
        <w:t xml:space="preserve">муниципального образования </w:t>
      </w:r>
      <w:r w:rsidRPr="00CE4F6B">
        <w:rPr>
          <w:sz w:val="28"/>
          <w:szCs w:val="28"/>
        </w:rPr>
        <w:t>в целом, так и отрасли, к которой они относятся).</w:t>
      </w:r>
      <w:r>
        <w:rPr>
          <w:sz w:val="28"/>
          <w:szCs w:val="28"/>
        </w:rPr>
        <w:t xml:space="preserve"> </w:t>
      </w:r>
    </w:p>
    <w:p w:rsidR="00117BEF" w:rsidRPr="009A2731" w:rsidRDefault="00117BEF" w:rsidP="00117BEF">
      <w:pPr>
        <w:pStyle w:val="20"/>
        <w:shd w:val="clear" w:color="auto" w:fill="auto"/>
        <w:spacing w:after="0" w:line="240" w:lineRule="auto"/>
        <w:ind w:firstLine="760"/>
        <w:jc w:val="both"/>
        <w:rPr>
          <w:spacing w:val="-10"/>
        </w:rPr>
      </w:pPr>
      <w:r>
        <w:t xml:space="preserve">При определении значений прогнозируемых показателей учитываются </w:t>
      </w:r>
      <w:r w:rsidRPr="009A2731">
        <w:rPr>
          <w:spacing w:val="-8"/>
        </w:rPr>
        <w:t xml:space="preserve">мероприятия, предусмотренные муниципальными программами. Включаемые </w:t>
      </w:r>
      <w:r>
        <w:rPr>
          <w:spacing w:val="-8"/>
        </w:rPr>
        <w:br/>
      </w:r>
      <w:r w:rsidRPr="009A2731">
        <w:rPr>
          <w:spacing w:val="-10"/>
        </w:rPr>
        <w:t>в состав прогноза показатели должны учитываться муниципальной статистикой.</w:t>
      </w:r>
    </w:p>
    <w:p w:rsidR="00117BEF" w:rsidRPr="00DC0946" w:rsidRDefault="00117BEF" w:rsidP="00117BEF">
      <w:pPr>
        <w:pStyle w:val="ConsPlusNormal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Шаблон таблицы первого раздела «Основные показатели прогноза </w:t>
      </w:r>
      <w:r w:rsidRPr="009A2731">
        <w:rPr>
          <w:spacing w:val="-12"/>
          <w:sz w:val="28"/>
          <w:szCs w:val="28"/>
        </w:rPr>
        <w:t>социально-экономического развития» утверждается Правительством Ленинградской области.</w:t>
      </w:r>
    </w:p>
    <w:p w:rsidR="00117BEF" w:rsidRPr="00CE4F6B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Второй раздел включает пояснительную записку, обосновывающую значения прогнозируемых показателей. В пояснительную записку включаются:</w:t>
      </w:r>
    </w:p>
    <w:p w:rsidR="00117BEF" w:rsidRPr="00CE4F6B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оценка достигнутого уровня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CE4F6B">
        <w:rPr>
          <w:sz w:val="28"/>
          <w:szCs w:val="28"/>
        </w:rPr>
        <w:t>;</w:t>
      </w:r>
    </w:p>
    <w:p w:rsidR="00117BEF" w:rsidRPr="00CE4F6B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характеристика условий социально-экономического развития в </w:t>
      </w:r>
      <w:r>
        <w:rPr>
          <w:sz w:val="28"/>
          <w:szCs w:val="28"/>
        </w:rPr>
        <w:t>среднеср</w:t>
      </w:r>
      <w:r w:rsidRPr="00CE4F6B">
        <w:rPr>
          <w:sz w:val="28"/>
          <w:szCs w:val="28"/>
        </w:rPr>
        <w:t>очном периоде, включая основные показатели демографического и экономического развития, состояния окружающей среды и природных ресурсов;</w:t>
      </w:r>
    </w:p>
    <w:p w:rsidR="00117BEF" w:rsidRPr="00CE4F6B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оценка внешних факторов и ограничений экономического роста </w:t>
      </w:r>
      <w:r>
        <w:rPr>
          <w:sz w:val="28"/>
          <w:szCs w:val="28"/>
        </w:rPr>
        <w:t xml:space="preserve">муниципального образования </w:t>
      </w:r>
      <w:r w:rsidRPr="00CE4F6B">
        <w:rPr>
          <w:sz w:val="28"/>
          <w:szCs w:val="28"/>
        </w:rPr>
        <w:t>на среднесрочный период;</w:t>
      </w:r>
    </w:p>
    <w:p w:rsidR="00117BEF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основные проблемные вопросы развития </w:t>
      </w:r>
      <w:r>
        <w:rPr>
          <w:sz w:val="28"/>
          <w:szCs w:val="28"/>
        </w:rPr>
        <w:t>муниципального образования</w:t>
      </w:r>
      <w:r w:rsidRPr="00CE4F6B">
        <w:rPr>
          <w:sz w:val="28"/>
          <w:szCs w:val="28"/>
        </w:rPr>
        <w:t>, сдерживающие его социально-экономическое развитие.</w:t>
      </w:r>
    </w:p>
    <w:p w:rsidR="00117BEF" w:rsidRPr="00CE4F6B" w:rsidRDefault="00117BEF" w:rsidP="00117BEF">
      <w:pPr>
        <w:pStyle w:val="ConsPlusNormal"/>
        <w:ind w:firstLine="709"/>
        <w:jc w:val="both"/>
        <w:rPr>
          <w:sz w:val="28"/>
          <w:szCs w:val="28"/>
        </w:rPr>
      </w:pPr>
    </w:p>
    <w:p w:rsidR="00034088" w:rsidRDefault="00034088" w:rsidP="00034088">
      <w:pPr>
        <w:pStyle w:val="ConsPlusTitle"/>
        <w:numPr>
          <w:ilvl w:val="0"/>
          <w:numId w:val="50"/>
        </w:numPr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Разработка прогноза на среднесрочный период </w:t>
      </w:r>
    </w:p>
    <w:p w:rsidR="00034088" w:rsidRPr="00CE4F6B" w:rsidRDefault="00034088" w:rsidP="00034088">
      <w:pPr>
        <w:pStyle w:val="ConsPlusTitle"/>
        <w:spacing w:line="276" w:lineRule="auto"/>
        <w:ind w:left="1429"/>
        <w:outlineLvl w:val="1"/>
        <w:rPr>
          <w:rFonts w:ascii="Times New Roman" w:hAnsi="Times New Roman" w:cs="Times New Roman"/>
          <w:sz w:val="28"/>
          <w:szCs w:val="28"/>
        </w:rPr>
      </w:pPr>
    </w:p>
    <w:p w:rsidR="00034088" w:rsidRPr="00CE4F6B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Разработка прогноза осуществляется </w:t>
      </w:r>
      <w:r w:rsidR="00A02FB4">
        <w:rPr>
          <w:sz w:val="28"/>
          <w:szCs w:val="28"/>
        </w:rPr>
        <w:t xml:space="preserve">сектором экономики, управления муниципальным имуществом, предпринимательства и потребительского рынка </w:t>
      </w:r>
      <w:r w:rsidRPr="00CE4F6B">
        <w:rPr>
          <w:sz w:val="28"/>
          <w:szCs w:val="28"/>
        </w:rPr>
        <w:t>на основе единой методологии и в соответствии с методическими рекомендациями, разработанными Министерством экономического развития Российской Федерации и Комитетом экономического развития и инвестиционной деятельности Ленинградской области, в следующем порядке:</w:t>
      </w:r>
    </w:p>
    <w:p w:rsidR="00034088" w:rsidRDefault="00034088" w:rsidP="00034088">
      <w:pPr>
        <w:pStyle w:val="ConsPlusNormal"/>
        <w:numPr>
          <w:ilvl w:val="1"/>
          <w:numId w:val="48"/>
        </w:numPr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получения необходимой информации направляются запросы                            в структурные подразделения администрации муниципального образования, организации.</w:t>
      </w:r>
    </w:p>
    <w:p w:rsidR="00034088" w:rsidRPr="003A007D" w:rsidRDefault="00034088" w:rsidP="00034088">
      <w:pPr>
        <w:pStyle w:val="ConsPlusNormal"/>
        <w:numPr>
          <w:ilvl w:val="1"/>
          <w:numId w:val="48"/>
        </w:numPr>
        <w:adjustRightInd/>
        <w:ind w:left="0" w:firstLine="709"/>
        <w:jc w:val="both"/>
        <w:rPr>
          <w:sz w:val="28"/>
          <w:szCs w:val="28"/>
        </w:rPr>
      </w:pPr>
      <w:r w:rsidRPr="003A007D">
        <w:rPr>
          <w:sz w:val="28"/>
          <w:szCs w:val="28"/>
        </w:rPr>
        <w:t xml:space="preserve">Прогноз формируется после получения от структурных подразделений администрации </w:t>
      </w:r>
      <w:r>
        <w:rPr>
          <w:sz w:val="28"/>
          <w:szCs w:val="28"/>
        </w:rPr>
        <w:t>муниципального образования</w:t>
      </w:r>
      <w:r w:rsidRPr="003A007D">
        <w:rPr>
          <w:sz w:val="28"/>
          <w:szCs w:val="28"/>
        </w:rPr>
        <w:t xml:space="preserve">, Федеральных и региональных органов власти, организаций исходных данных, прогноза социально-экономического </w:t>
      </w:r>
      <w:r w:rsidRPr="003A007D">
        <w:rPr>
          <w:spacing w:val="-10"/>
          <w:sz w:val="28"/>
          <w:szCs w:val="28"/>
        </w:rPr>
        <w:t xml:space="preserve">развития Ленинградской </w:t>
      </w:r>
      <w:r>
        <w:rPr>
          <w:spacing w:val="-10"/>
          <w:sz w:val="28"/>
          <w:szCs w:val="28"/>
        </w:rPr>
        <w:t xml:space="preserve">области, индексов производства, </w:t>
      </w:r>
      <w:r w:rsidRPr="003A007D">
        <w:rPr>
          <w:spacing w:val="-10"/>
          <w:sz w:val="28"/>
          <w:szCs w:val="28"/>
        </w:rPr>
        <w:t>индексов-дефляторов и других данных</w:t>
      </w:r>
      <w:r w:rsidRPr="003A007D">
        <w:rPr>
          <w:sz w:val="28"/>
          <w:szCs w:val="28"/>
        </w:rPr>
        <w:t xml:space="preserve"> в сроки, установленные постановлением администрации муниципального образования о разработке проекта бюджета на </w:t>
      </w:r>
      <w:r>
        <w:rPr>
          <w:sz w:val="28"/>
          <w:szCs w:val="28"/>
        </w:rPr>
        <w:t>очередной финансовый год и плановый период.</w:t>
      </w:r>
    </w:p>
    <w:p w:rsidR="00034088" w:rsidRPr="00CE4F6B" w:rsidRDefault="00034088" w:rsidP="00034088">
      <w:pPr>
        <w:pStyle w:val="ConsPlusNormal"/>
        <w:ind w:left="2059"/>
        <w:jc w:val="both"/>
        <w:rPr>
          <w:sz w:val="28"/>
          <w:szCs w:val="28"/>
        </w:rPr>
      </w:pPr>
    </w:p>
    <w:p w:rsidR="00034088" w:rsidRDefault="00034088" w:rsidP="00034088">
      <w:pPr>
        <w:pStyle w:val="ConsPlusTitle"/>
        <w:numPr>
          <w:ilvl w:val="0"/>
          <w:numId w:val="5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Общественное обсуждение проектов прогнозов на среднесрочный период</w:t>
      </w:r>
    </w:p>
    <w:p w:rsidR="00034088" w:rsidRPr="00CE4F6B" w:rsidRDefault="00034088" w:rsidP="00034088">
      <w:pPr>
        <w:pStyle w:val="ConsPlusTitle"/>
        <w:ind w:left="1429"/>
        <w:outlineLvl w:val="1"/>
        <w:rPr>
          <w:rFonts w:ascii="Times New Roman" w:hAnsi="Times New Roman" w:cs="Times New Roman"/>
          <w:sz w:val="28"/>
          <w:szCs w:val="28"/>
        </w:rPr>
      </w:pPr>
    </w:p>
    <w:p w:rsidR="00034088" w:rsidRPr="00197825" w:rsidRDefault="00034088" w:rsidP="00034088">
      <w:pPr>
        <w:pStyle w:val="ConsPlusNormal"/>
        <w:numPr>
          <w:ilvl w:val="0"/>
          <w:numId w:val="48"/>
        </w:numPr>
        <w:tabs>
          <w:tab w:val="left" w:pos="851"/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197825">
        <w:rPr>
          <w:sz w:val="28"/>
          <w:szCs w:val="28"/>
        </w:rPr>
        <w:t xml:space="preserve">Общественное обсуждение проекта </w:t>
      </w:r>
      <w:r w:rsidR="007656B2">
        <w:rPr>
          <w:sz w:val="28"/>
          <w:szCs w:val="28"/>
        </w:rPr>
        <w:t>п</w:t>
      </w:r>
      <w:r w:rsidRPr="00197825">
        <w:rPr>
          <w:sz w:val="28"/>
          <w:szCs w:val="28"/>
        </w:rPr>
        <w:t xml:space="preserve">рогноза осуществляется </w:t>
      </w:r>
      <w:r>
        <w:rPr>
          <w:sz w:val="28"/>
          <w:szCs w:val="28"/>
        </w:rPr>
        <w:br/>
      </w:r>
      <w:r w:rsidRPr="009A2731">
        <w:rPr>
          <w:spacing w:val="-8"/>
          <w:sz w:val="28"/>
          <w:szCs w:val="28"/>
        </w:rPr>
        <w:t xml:space="preserve">в форме размещения проекта </w:t>
      </w:r>
      <w:r w:rsidR="007656B2">
        <w:rPr>
          <w:spacing w:val="-8"/>
          <w:sz w:val="28"/>
          <w:szCs w:val="28"/>
        </w:rPr>
        <w:t>прогноза на официальном сайте</w:t>
      </w:r>
      <w:r w:rsidRPr="009A2731">
        <w:rPr>
          <w:spacing w:val="-8"/>
          <w:sz w:val="28"/>
          <w:szCs w:val="28"/>
        </w:rPr>
        <w:t xml:space="preserve"> муниципального</w:t>
      </w:r>
      <w:r w:rsidRPr="0019782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197825">
        <w:rPr>
          <w:sz w:val="28"/>
          <w:szCs w:val="28"/>
        </w:rPr>
        <w:t xml:space="preserve">в </w:t>
      </w:r>
      <w:r w:rsidR="007656B2">
        <w:rPr>
          <w:sz w:val="28"/>
          <w:szCs w:val="28"/>
        </w:rPr>
        <w:t xml:space="preserve">информационно-телекоммуникационной </w:t>
      </w:r>
      <w:r w:rsidRPr="00197825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</w:t>
      </w:r>
      <w:r w:rsidRPr="00197825">
        <w:rPr>
          <w:sz w:val="28"/>
          <w:szCs w:val="28"/>
        </w:rPr>
        <w:t xml:space="preserve">с одновременным размещением проекта </w:t>
      </w:r>
      <w:r w:rsidR="007656B2">
        <w:rPr>
          <w:sz w:val="28"/>
          <w:szCs w:val="28"/>
        </w:rPr>
        <w:t>п</w:t>
      </w:r>
      <w:r w:rsidRPr="00197825">
        <w:rPr>
          <w:sz w:val="28"/>
          <w:szCs w:val="28"/>
        </w:rPr>
        <w:t>рогноза в федеральной информационной системе стратегического планирования государственной автоматизированной системе «Управление</w:t>
      </w:r>
      <w:r w:rsidRPr="00DC0946">
        <w:rPr>
          <w:sz w:val="28"/>
          <w:szCs w:val="28"/>
        </w:rPr>
        <w:t>» (</w:t>
      </w:r>
      <w:hyperlink r:id="rId5" w:history="1">
        <w:r w:rsidRPr="00DC0946">
          <w:rPr>
            <w:rStyle w:val="ab"/>
            <w:sz w:val="28"/>
            <w:szCs w:val="28"/>
          </w:rPr>
          <w:t>http://gasu.gov.ru/stratpassport</w:t>
        </w:r>
      </w:hyperlink>
      <w:r w:rsidRPr="00DC0946">
        <w:rPr>
          <w:sz w:val="28"/>
          <w:szCs w:val="28"/>
        </w:rPr>
        <w:t>;</w:t>
      </w:r>
      <w:r w:rsidRPr="00197825">
        <w:rPr>
          <w:sz w:val="28"/>
          <w:szCs w:val="28"/>
        </w:rPr>
        <w:t xml:space="preserve"> далее </w:t>
      </w:r>
      <w:r>
        <w:rPr>
          <w:sz w:val="28"/>
          <w:szCs w:val="28"/>
        </w:rPr>
        <w:t>-</w:t>
      </w:r>
      <w:r w:rsidRPr="00197825">
        <w:rPr>
          <w:sz w:val="28"/>
          <w:szCs w:val="28"/>
        </w:rPr>
        <w:t xml:space="preserve"> ГАС «Управление») с соблюдением требований законодательства Российской Федерации о государственной, </w:t>
      </w:r>
      <w:r w:rsidRPr="009A2731">
        <w:rPr>
          <w:spacing w:val="-10"/>
          <w:sz w:val="28"/>
          <w:szCs w:val="28"/>
        </w:rPr>
        <w:t>коммерческой, служебной и иной охраняемой законом тайне и с предоставлением участникам</w:t>
      </w:r>
      <w:r w:rsidRPr="00197825">
        <w:rPr>
          <w:sz w:val="28"/>
          <w:szCs w:val="28"/>
        </w:rPr>
        <w:t xml:space="preserve"> общественного обсуждения возможности направления замечаний и предложений в электронном и(или) письменном виде.</w:t>
      </w:r>
    </w:p>
    <w:p w:rsidR="00034088" w:rsidRPr="00CE4F6B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Участниками общественного обсуждения являются физические, юридические лица, заинтересованные в общественном обсуждении проектов прогнозов.</w:t>
      </w:r>
    </w:p>
    <w:p w:rsidR="00034088" w:rsidRPr="00CE4F6B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Одновременно с проектами прогнозов размещается следующая информация:</w:t>
      </w:r>
    </w:p>
    <w:p w:rsidR="00034088" w:rsidRPr="00CE4F6B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о разработчике проекта прогноза (контактные данные);</w:t>
      </w:r>
    </w:p>
    <w:p w:rsidR="00034088" w:rsidRPr="00CE4F6B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о сроках начала и завершения общественного обсуждения;</w:t>
      </w:r>
    </w:p>
    <w:p w:rsidR="00034088" w:rsidRPr="00CE4F6B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о порядке направления замечаний и предложений по проектам прогнозов;</w:t>
      </w:r>
    </w:p>
    <w:p w:rsidR="00034088" w:rsidRPr="00CE4F6B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о порядке ознакомления с поступившими замечаниями и предложениями по проектам прогнозов.</w:t>
      </w:r>
    </w:p>
    <w:p w:rsidR="00034088" w:rsidRPr="00CE4F6B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Общественное обсуждение проектов прогнозов проводится в срок не менее 15 календарных дней со дня размещения.</w:t>
      </w:r>
    </w:p>
    <w:p w:rsidR="00034088" w:rsidRPr="00CE4F6B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>Информация, полученная в ходе общественного обсуждения, носит рекомендательный характер.</w:t>
      </w:r>
    </w:p>
    <w:p w:rsidR="00034088" w:rsidRPr="00CE4F6B" w:rsidRDefault="00034088" w:rsidP="00991837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Замечания и предложения, поступившие в ходе общественного обсуждения проектов прогнозов, должны быть рассмотрены </w:t>
      </w:r>
      <w:r w:rsidR="00991837" w:rsidRPr="00991837">
        <w:rPr>
          <w:sz w:val="28"/>
          <w:szCs w:val="28"/>
        </w:rPr>
        <w:t xml:space="preserve">сектором экономики, управления муниципальным имуществом, предпринимательства и потребительского рынка </w:t>
      </w:r>
      <w:r w:rsidRPr="00CE4F6B">
        <w:rPr>
          <w:sz w:val="28"/>
          <w:szCs w:val="28"/>
        </w:rPr>
        <w:t>в течение 5 рабочих дней со дня окончания срока общественного обсуждения. По итогам рассмотрения принимается решение о целесообразности, обоснованности и возможности их уч</w:t>
      </w:r>
      <w:r w:rsidR="007656B2">
        <w:rPr>
          <w:sz w:val="28"/>
          <w:szCs w:val="28"/>
        </w:rPr>
        <w:t>ё</w:t>
      </w:r>
      <w:r w:rsidRPr="00CE4F6B">
        <w:rPr>
          <w:sz w:val="28"/>
          <w:szCs w:val="28"/>
        </w:rPr>
        <w:t>та. В случае необходимости проекты прогнозов дорабатыва</w:t>
      </w:r>
      <w:r>
        <w:rPr>
          <w:sz w:val="28"/>
          <w:szCs w:val="28"/>
        </w:rPr>
        <w:t>ются</w:t>
      </w:r>
      <w:r w:rsidRPr="00CE4F6B">
        <w:rPr>
          <w:sz w:val="28"/>
          <w:szCs w:val="28"/>
        </w:rPr>
        <w:t>.</w:t>
      </w:r>
    </w:p>
    <w:p w:rsidR="00034088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E4F6B">
        <w:rPr>
          <w:sz w:val="28"/>
          <w:szCs w:val="28"/>
        </w:rPr>
        <w:t xml:space="preserve">Сводная информация о принятии (отклонении) поступивших </w:t>
      </w:r>
      <w:r w:rsidRPr="00CE4F6B">
        <w:rPr>
          <w:sz w:val="28"/>
          <w:szCs w:val="28"/>
        </w:rPr>
        <w:lastRenderedPageBreak/>
        <w:t>замечаний и предложений к проектам прогнозов размещается на официальном сайте</w:t>
      </w:r>
      <w:r w:rsidR="00765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CE4F6B">
        <w:rPr>
          <w:sz w:val="28"/>
          <w:szCs w:val="28"/>
        </w:rPr>
        <w:t xml:space="preserve">и в федеральной информационной системе стратегического планирования (только при наличии замечаний и предложений) не позднее одного дня направления проекта прогноза на согласование или </w:t>
      </w:r>
      <w:r>
        <w:rPr>
          <w:sz w:val="28"/>
          <w:szCs w:val="28"/>
        </w:rPr>
        <w:t>одобрение</w:t>
      </w:r>
      <w:r w:rsidRPr="00CE4F6B">
        <w:rPr>
          <w:sz w:val="28"/>
          <w:szCs w:val="28"/>
        </w:rPr>
        <w:t>.</w:t>
      </w:r>
    </w:p>
    <w:p w:rsidR="00034088" w:rsidRPr="00CE4F6B" w:rsidRDefault="00034088" w:rsidP="0003408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34088" w:rsidRDefault="00034088" w:rsidP="007656B2">
      <w:pPr>
        <w:pStyle w:val="ConsPlusTitle"/>
        <w:numPr>
          <w:ilvl w:val="0"/>
          <w:numId w:val="5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</w:t>
      </w:r>
      <w:r w:rsidRPr="00C76EF6">
        <w:rPr>
          <w:rFonts w:ascii="Times New Roman" w:hAnsi="Times New Roman" w:cs="Times New Roman"/>
          <w:sz w:val="28"/>
          <w:szCs w:val="28"/>
        </w:rPr>
        <w:t xml:space="preserve">, регистрация и опубликование прогноза на среднесрочный период </w:t>
      </w:r>
    </w:p>
    <w:p w:rsidR="007656B2" w:rsidRPr="00C76EF6" w:rsidRDefault="007656B2" w:rsidP="007656B2">
      <w:pPr>
        <w:pStyle w:val="ConsPlusTitle"/>
        <w:ind w:left="1429"/>
        <w:outlineLvl w:val="1"/>
        <w:rPr>
          <w:rFonts w:ascii="Times New Roman" w:hAnsi="Times New Roman" w:cs="Times New Roman"/>
          <w:sz w:val="28"/>
          <w:szCs w:val="28"/>
        </w:rPr>
      </w:pPr>
    </w:p>
    <w:p w:rsidR="00034088" w:rsidRPr="00C76EF6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>Прогноз одобряется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C76EF6">
        <w:rPr>
          <w:sz w:val="28"/>
          <w:szCs w:val="28"/>
        </w:rPr>
        <w:t xml:space="preserve"> одновременно с принятием решения о внесении проекта бюджета в представительный орган </w:t>
      </w:r>
      <w:r>
        <w:rPr>
          <w:sz w:val="28"/>
          <w:szCs w:val="28"/>
        </w:rPr>
        <w:t>муниципального образования</w:t>
      </w:r>
      <w:r w:rsidRPr="00C76EF6">
        <w:rPr>
          <w:sz w:val="28"/>
          <w:szCs w:val="28"/>
        </w:rPr>
        <w:t>.</w:t>
      </w:r>
    </w:p>
    <w:p w:rsidR="00034088" w:rsidRPr="00C76EF6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 xml:space="preserve">муниципального образования </w:t>
      </w:r>
      <w:r w:rsidRPr="00C76EF6">
        <w:rPr>
          <w:sz w:val="28"/>
          <w:szCs w:val="28"/>
        </w:rPr>
        <w:t>на среднесрочный период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</w:t>
      </w:r>
      <w:r w:rsidR="007656B2">
        <w:rPr>
          <w:sz w:val="28"/>
          <w:szCs w:val="28"/>
        </w:rPr>
        <w:t>ё</w:t>
      </w:r>
      <w:r w:rsidRPr="00C76EF6">
        <w:rPr>
          <w:sz w:val="28"/>
          <w:szCs w:val="28"/>
        </w:rPr>
        <w:t>том требований законодательства Российской Федерации и Ленинградской области.</w:t>
      </w:r>
    </w:p>
    <w:p w:rsidR="00034088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6EF6">
        <w:rPr>
          <w:sz w:val="28"/>
          <w:szCs w:val="28"/>
        </w:rPr>
        <w:t xml:space="preserve"> 10-дневный срок после одобрения администрацией </w:t>
      </w:r>
      <w:r>
        <w:rPr>
          <w:sz w:val="28"/>
          <w:szCs w:val="28"/>
        </w:rPr>
        <w:t xml:space="preserve">муниципального образования </w:t>
      </w:r>
      <w:r w:rsidR="007656B2">
        <w:rPr>
          <w:sz w:val="28"/>
          <w:szCs w:val="28"/>
        </w:rPr>
        <w:t>прогноз</w:t>
      </w:r>
      <w:r w:rsidRPr="00C76EF6">
        <w:rPr>
          <w:sz w:val="28"/>
          <w:szCs w:val="28"/>
        </w:rPr>
        <w:t xml:space="preserve"> доводит</w:t>
      </w:r>
      <w:r w:rsidR="007656B2">
        <w:rPr>
          <w:sz w:val="28"/>
          <w:szCs w:val="28"/>
        </w:rPr>
        <w:t>ся</w:t>
      </w:r>
      <w:r w:rsidRPr="00C76EF6">
        <w:rPr>
          <w:sz w:val="28"/>
          <w:szCs w:val="28"/>
        </w:rPr>
        <w:t xml:space="preserve"> до сведения заинтересованных </w:t>
      </w:r>
      <w:r>
        <w:rPr>
          <w:sz w:val="28"/>
          <w:szCs w:val="28"/>
        </w:rPr>
        <w:t xml:space="preserve">подразделений </w:t>
      </w:r>
      <w:r w:rsidRPr="00C76EF6">
        <w:rPr>
          <w:sz w:val="28"/>
          <w:szCs w:val="28"/>
        </w:rPr>
        <w:t xml:space="preserve">органов местного самоуправления и других участников стратегического планирования, а также размещает в электронной форме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C76EF6">
        <w:rPr>
          <w:sz w:val="28"/>
          <w:szCs w:val="28"/>
        </w:rPr>
        <w:t>в информаци</w:t>
      </w:r>
      <w:r w:rsidR="007656B2">
        <w:rPr>
          <w:sz w:val="28"/>
          <w:szCs w:val="28"/>
        </w:rPr>
        <w:t xml:space="preserve">онно-телекоммуникационной сети </w:t>
      </w:r>
      <w:r w:rsidRPr="00C76EF6">
        <w:rPr>
          <w:sz w:val="28"/>
          <w:szCs w:val="28"/>
        </w:rPr>
        <w:t>Интернет.</w:t>
      </w:r>
    </w:p>
    <w:p w:rsidR="00034088" w:rsidRPr="00C76EF6" w:rsidRDefault="00034088" w:rsidP="0003408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34088" w:rsidRDefault="00034088" w:rsidP="00BA41FA">
      <w:pPr>
        <w:pStyle w:val="ConsPlusTitle"/>
        <w:numPr>
          <w:ilvl w:val="0"/>
          <w:numId w:val="5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Корректировка, мониторинг реализации и оценка качества прогноза на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>срочный период</w:t>
      </w:r>
    </w:p>
    <w:p w:rsidR="00BA41FA" w:rsidRPr="00C76EF6" w:rsidRDefault="00BA41FA" w:rsidP="00BA41FA">
      <w:pPr>
        <w:pStyle w:val="ConsPlusTitle"/>
        <w:ind w:left="1429"/>
        <w:outlineLvl w:val="1"/>
        <w:rPr>
          <w:rFonts w:ascii="Times New Roman" w:hAnsi="Times New Roman" w:cs="Times New Roman"/>
          <w:sz w:val="28"/>
          <w:szCs w:val="28"/>
        </w:rPr>
      </w:pPr>
    </w:p>
    <w:p w:rsidR="00BF3B0D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spacing w:before="120"/>
        <w:ind w:left="0" w:firstLine="709"/>
        <w:jc w:val="both"/>
        <w:rPr>
          <w:sz w:val="28"/>
          <w:szCs w:val="28"/>
        </w:rPr>
      </w:pPr>
      <w:r w:rsidRPr="00BF3B0D">
        <w:rPr>
          <w:sz w:val="28"/>
          <w:szCs w:val="28"/>
        </w:rPr>
        <w:t>Мониторинг реализации прогноза осуществляется в целях выявления отклонений фактических значений показателей от показателей, утвержд</w:t>
      </w:r>
      <w:r w:rsidR="00BA41FA" w:rsidRPr="00BF3B0D">
        <w:rPr>
          <w:sz w:val="28"/>
          <w:szCs w:val="28"/>
        </w:rPr>
        <w:t>ё</w:t>
      </w:r>
      <w:r w:rsidRPr="00BF3B0D">
        <w:rPr>
          <w:sz w:val="28"/>
          <w:szCs w:val="28"/>
        </w:rPr>
        <w:t>нных в прогноз</w:t>
      </w:r>
      <w:r w:rsidR="00BF3B0D" w:rsidRPr="00BF3B0D">
        <w:rPr>
          <w:sz w:val="28"/>
          <w:szCs w:val="28"/>
        </w:rPr>
        <w:t xml:space="preserve">е. </w:t>
      </w:r>
    </w:p>
    <w:p w:rsidR="00034088" w:rsidRPr="00BF3B0D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spacing w:before="120"/>
        <w:ind w:left="0" w:firstLine="709"/>
        <w:jc w:val="both"/>
        <w:rPr>
          <w:sz w:val="28"/>
          <w:szCs w:val="28"/>
        </w:rPr>
      </w:pPr>
      <w:r w:rsidRPr="00BF3B0D">
        <w:rPr>
          <w:sz w:val="28"/>
          <w:szCs w:val="28"/>
        </w:rPr>
        <w:t>Мониторинг реализации прогноза осуществляется на основе данных официального статистического наблюдения, а также иной информации, пут</w:t>
      </w:r>
      <w:r w:rsidR="00BF3B0D">
        <w:rPr>
          <w:sz w:val="28"/>
          <w:szCs w:val="28"/>
        </w:rPr>
        <w:t>ё</w:t>
      </w:r>
      <w:r w:rsidRPr="00BF3B0D">
        <w:rPr>
          <w:sz w:val="28"/>
          <w:szCs w:val="28"/>
        </w:rPr>
        <w:t>м обобщения информации о социально-экономическом развитии муниципального образования и оценки достижения показателей социально-экономического развития муниципального образования в отч</w:t>
      </w:r>
      <w:r w:rsidR="00BF3B0D">
        <w:rPr>
          <w:sz w:val="28"/>
          <w:szCs w:val="28"/>
        </w:rPr>
        <w:t>ё</w:t>
      </w:r>
      <w:r w:rsidRPr="00BF3B0D">
        <w:rPr>
          <w:sz w:val="28"/>
          <w:szCs w:val="28"/>
        </w:rPr>
        <w:t xml:space="preserve">тном году. </w:t>
      </w:r>
    </w:p>
    <w:p w:rsidR="00034088" w:rsidRPr="001D4764" w:rsidRDefault="00034088" w:rsidP="00A02FB4">
      <w:pPr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764">
        <w:rPr>
          <w:rFonts w:ascii="Times New Roman" w:eastAsia="Times New Roman" w:hAnsi="Times New Roman" w:cs="Times New Roman"/>
          <w:sz w:val="28"/>
          <w:szCs w:val="28"/>
        </w:rPr>
        <w:t xml:space="preserve">По итогам обобщения </w:t>
      </w:r>
      <w:r w:rsidR="00BF3B0D">
        <w:rPr>
          <w:rFonts w:ascii="Times New Roman" w:eastAsia="Times New Roman" w:hAnsi="Times New Roman" w:cs="Times New Roman"/>
          <w:sz w:val="28"/>
          <w:szCs w:val="28"/>
        </w:rPr>
        <w:t>сектор экономики, управления муниципальным имуществом, предпринимательства и потребительского рынка</w:t>
      </w:r>
      <w:r w:rsidRPr="001D4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представляет г</w:t>
      </w:r>
      <w:r w:rsidRPr="001D4764">
        <w:rPr>
          <w:rFonts w:ascii="Times New Roman" w:eastAsia="Times New Roman" w:hAnsi="Times New Roman" w:cs="Times New Roman"/>
          <w:spacing w:val="-12"/>
          <w:sz w:val="28"/>
          <w:szCs w:val="28"/>
        </w:rPr>
        <w:t>лаве администрации муниципального образования</w:t>
      </w:r>
      <w:r w:rsidR="00BF3B0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02FB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отчёт </w:t>
      </w:r>
      <w:r w:rsidRPr="001D4764">
        <w:rPr>
          <w:rFonts w:ascii="Times New Roman" w:eastAsia="Times New Roman" w:hAnsi="Times New Roman" w:cs="Times New Roman"/>
          <w:sz w:val="28"/>
          <w:szCs w:val="28"/>
        </w:rPr>
        <w:t>«Об итогах социально-экономического развития муниципального образования», содержащий следующие показатели и характеристики за отч</w:t>
      </w:r>
      <w:r w:rsidR="00BF3B0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D4764">
        <w:rPr>
          <w:rFonts w:ascii="Times New Roman" w:eastAsia="Times New Roman" w:hAnsi="Times New Roman" w:cs="Times New Roman"/>
          <w:sz w:val="28"/>
          <w:szCs w:val="28"/>
        </w:rPr>
        <w:t>тный год:</w:t>
      </w:r>
    </w:p>
    <w:p w:rsidR="00034088" w:rsidRPr="00C76EF6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>а) оценка степени достижения утвержд</w:t>
      </w:r>
      <w:r w:rsidR="00BF3B0D">
        <w:rPr>
          <w:sz w:val="28"/>
          <w:szCs w:val="28"/>
        </w:rPr>
        <w:t>ё</w:t>
      </w:r>
      <w:r w:rsidRPr="00C76EF6">
        <w:rPr>
          <w:sz w:val="28"/>
          <w:szCs w:val="28"/>
        </w:rPr>
        <w:t xml:space="preserve">нных показателей </w:t>
      </w:r>
      <w:r>
        <w:rPr>
          <w:sz w:val="28"/>
          <w:szCs w:val="28"/>
        </w:rPr>
        <w:t>средне</w:t>
      </w:r>
      <w:r w:rsidRPr="00C76EF6">
        <w:rPr>
          <w:sz w:val="28"/>
          <w:szCs w:val="28"/>
        </w:rPr>
        <w:t>срочного прогноза;</w:t>
      </w:r>
    </w:p>
    <w:p w:rsidR="00034088" w:rsidRPr="00C76EF6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 xml:space="preserve">б) оценка влияния внутренних и внешних условий на достижение показателей </w:t>
      </w:r>
      <w:r>
        <w:rPr>
          <w:sz w:val="28"/>
          <w:szCs w:val="28"/>
        </w:rPr>
        <w:t>средне</w:t>
      </w:r>
      <w:r w:rsidRPr="00C76EF6">
        <w:rPr>
          <w:sz w:val="28"/>
          <w:szCs w:val="28"/>
        </w:rPr>
        <w:t>срочного прогноза;</w:t>
      </w:r>
    </w:p>
    <w:p w:rsidR="00034088" w:rsidRDefault="00034088" w:rsidP="00034088">
      <w:pPr>
        <w:pStyle w:val="ConsPlusNormal"/>
        <w:ind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 xml:space="preserve">в) оценка уровня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C76EF6">
        <w:rPr>
          <w:sz w:val="28"/>
          <w:szCs w:val="28"/>
        </w:rPr>
        <w:t>, анализ возможных рисков.</w:t>
      </w:r>
    </w:p>
    <w:p w:rsidR="00034088" w:rsidRPr="00C76EF6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lastRenderedPageBreak/>
        <w:t xml:space="preserve">Оценка качества разработки прогнозов осуществляется </w:t>
      </w:r>
      <w:r>
        <w:rPr>
          <w:sz w:val="28"/>
          <w:szCs w:val="28"/>
        </w:rPr>
        <w:t>одновременно с проведением мониторинга прогнозов</w:t>
      </w:r>
      <w:r w:rsidRPr="00C76EF6">
        <w:rPr>
          <w:sz w:val="28"/>
          <w:szCs w:val="28"/>
        </w:rPr>
        <w:t>.</w:t>
      </w:r>
    </w:p>
    <w:p w:rsidR="00034088" w:rsidRPr="00C76EF6" w:rsidRDefault="00034088" w:rsidP="00034088">
      <w:pPr>
        <w:pStyle w:val="ConsPlusNormal"/>
        <w:numPr>
          <w:ilvl w:val="1"/>
          <w:numId w:val="48"/>
        </w:numPr>
        <w:adjustRightInd/>
        <w:ind w:left="0"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>В целях оценки качества ключевыми показателями прогнозов являются следующие показатели:</w:t>
      </w:r>
    </w:p>
    <w:p w:rsidR="00034088" w:rsidRPr="00F03799" w:rsidRDefault="00034088" w:rsidP="00034088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8"/>
          <w:szCs w:val="28"/>
        </w:rPr>
      </w:pPr>
      <w:r w:rsidRPr="00F03799">
        <w:rPr>
          <w:sz w:val="28"/>
          <w:szCs w:val="28"/>
        </w:rPr>
        <w:t>численность населения (на 1 января года), человек;</w:t>
      </w:r>
    </w:p>
    <w:p w:rsidR="00034088" w:rsidRPr="00F03799" w:rsidRDefault="00034088" w:rsidP="00034088">
      <w:pPr>
        <w:pStyle w:val="ConsPlusNormal"/>
        <w:numPr>
          <w:ilvl w:val="0"/>
          <w:numId w:val="49"/>
        </w:numPr>
        <w:ind w:left="0" w:firstLine="709"/>
        <w:jc w:val="both"/>
        <w:rPr>
          <w:bCs/>
          <w:sz w:val="28"/>
          <w:szCs w:val="28"/>
        </w:rPr>
      </w:pPr>
      <w:r w:rsidRPr="00F03799">
        <w:rPr>
          <w:sz w:val="28"/>
          <w:szCs w:val="28"/>
        </w:rPr>
        <w:t xml:space="preserve">количество малых и средних предприятий (включая </w:t>
      </w:r>
      <w:proofErr w:type="spellStart"/>
      <w:r w:rsidRPr="00F03799"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и индивидуальных предпринимателей</w:t>
      </w:r>
      <w:r w:rsidRPr="00F03799">
        <w:rPr>
          <w:sz w:val="28"/>
          <w:szCs w:val="28"/>
        </w:rPr>
        <w:t>)</w:t>
      </w:r>
      <w:r>
        <w:rPr>
          <w:sz w:val="28"/>
          <w:szCs w:val="28"/>
        </w:rPr>
        <w:t xml:space="preserve">, в </w:t>
      </w:r>
      <w:r w:rsidRPr="00F0379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br/>
      </w:r>
      <w:r w:rsidRPr="00F03799">
        <w:rPr>
          <w:sz w:val="28"/>
          <w:szCs w:val="28"/>
        </w:rPr>
        <w:t xml:space="preserve">с </w:t>
      </w:r>
      <w:r>
        <w:rPr>
          <w:sz w:val="28"/>
          <w:szCs w:val="28"/>
        </w:rPr>
        <w:t>реестром</w:t>
      </w:r>
      <w:r w:rsidRPr="00F03799">
        <w:rPr>
          <w:sz w:val="28"/>
          <w:szCs w:val="28"/>
        </w:rPr>
        <w:t xml:space="preserve"> субъектов малого и среднего предпринимательства ФНС на </w:t>
      </w:r>
      <w:r>
        <w:rPr>
          <w:sz w:val="28"/>
          <w:szCs w:val="28"/>
        </w:rPr>
        <w:t>10 января</w:t>
      </w:r>
      <w:r w:rsidRPr="00F03799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следующего за отч</w:t>
      </w:r>
      <w:r w:rsidR="00BF3B0D">
        <w:rPr>
          <w:sz w:val="28"/>
          <w:szCs w:val="28"/>
        </w:rPr>
        <w:t>ё</w:t>
      </w:r>
      <w:r>
        <w:rPr>
          <w:sz w:val="28"/>
          <w:szCs w:val="28"/>
        </w:rPr>
        <w:t>тным,</w:t>
      </w:r>
      <w:r w:rsidRPr="00F03799">
        <w:rPr>
          <w:sz w:val="28"/>
          <w:szCs w:val="28"/>
        </w:rPr>
        <w:t xml:space="preserve"> единиц;</w:t>
      </w:r>
    </w:p>
    <w:p w:rsidR="00034088" w:rsidRPr="00BF3B0D" w:rsidRDefault="00034088" w:rsidP="00034088">
      <w:pPr>
        <w:pStyle w:val="a3"/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0D">
        <w:rPr>
          <w:rFonts w:ascii="Times New Roman" w:eastAsia="Times New Roman" w:hAnsi="Times New Roman" w:cs="Times New Roman"/>
          <w:sz w:val="28"/>
          <w:szCs w:val="28"/>
        </w:rPr>
        <w:t>ввод в действие жилых домов, тыс. кв. м;</w:t>
      </w:r>
    </w:p>
    <w:p w:rsidR="00034088" w:rsidRPr="00F03799" w:rsidRDefault="00034088" w:rsidP="00034088">
      <w:pPr>
        <w:pStyle w:val="ConsPlusNormal"/>
        <w:numPr>
          <w:ilvl w:val="0"/>
          <w:numId w:val="49"/>
        </w:numPr>
        <w:ind w:left="0" w:firstLine="709"/>
        <w:jc w:val="both"/>
        <w:rPr>
          <w:bCs/>
          <w:sz w:val="28"/>
          <w:szCs w:val="28"/>
        </w:rPr>
      </w:pPr>
      <w:r w:rsidRPr="00F03799">
        <w:rPr>
          <w:bCs/>
          <w:sz w:val="28"/>
          <w:szCs w:val="28"/>
        </w:rPr>
        <w:t>объем инвестиций в основной капитал, млрд</w:t>
      </w:r>
      <w:r>
        <w:rPr>
          <w:bCs/>
          <w:sz w:val="28"/>
          <w:szCs w:val="28"/>
        </w:rPr>
        <w:t>.</w:t>
      </w:r>
      <w:r w:rsidRPr="00F03799">
        <w:rPr>
          <w:bCs/>
          <w:sz w:val="28"/>
          <w:szCs w:val="28"/>
        </w:rPr>
        <w:t xml:space="preserve"> руб.;</w:t>
      </w:r>
    </w:p>
    <w:p w:rsidR="00034088" w:rsidRPr="00F03799" w:rsidRDefault="00034088" w:rsidP="00034088">
      <w:pPr>
        <w:pStyle w:val="ConsPlusNormal"/>
        <w:numPr>
          <w:ilvl w:val="0"/>
          <w:numId w:val="49"/>
        </w:numPr>
        <w:ind w:left="0" w:firstLine="709"/>
        <w:jc w:val="both"/>
        <w:rPr>
          <w:bCs/>
          <w:sz w:val="28"/>
          <w:szCs w:val="28"/>
        </w:rPr>
      </w:pPr>
      <w:r w:rsidRPr="00F03799">
        <w:rPr>
          <w:bCs/>
          <w:sz w:val="28"/>
          <w:szCs w:val="28"/>
        </w:rPr>
        <w:t>доходы консолидированного бюджета, млрд</w:t>
      </w:r>
      <w:r>
        <w:rPr>
          <w:bCs/>
          <w:sz w:val="28"/>
          <w:szCs w:val="28"/>
        </w:rPr>
        <w:t>.</w:t>
      </w:r>
      <w:r w:rsidRPr="00F03799">
        <w:rPr>
          <w:bCs/>
          <w:sz w:val="28"/>
          <w:szCs w:val="28"/>
        </w:rPr>
        <w:t xml:space="preserve"> руб.;</w:t>
      </w:r>
    </w:p>
    <w:p w:rsidR="00034088" w:rsidRPr="00F03799" w:rsidRDefault="00034088" w:rsidP="00034088">
      <w:pPr>
        <w:pStyle w:val="ConsPlusNormal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F03799">
        <w:rPr>
          <w:bCs/>
          <w:sz w:val="28"/>
          <w:szCs w:val="28"/>
        </w:rPr>
        <w:t xml:space="preserve">численность безработных, зарегистрированных в органах государственной службы занятости (на конец года), </w:t>
      </w:r>
      <w:r w:rsidRPr="00F03799">
        <w:rPr>
          <w:sz w:val="28"/>
          <w:szCs w:val="28"/>
        </w:rPr>
        <w:t>человек;</w:t>
      </w:r>
    </w:p>
    <w:p w:rsidR="00034088" w:rsidRPr="00F03799" w:rsidRDefault="00034088" w:rsidP="00034088">
      <w:pPr>
        <w:pStyle w:val="ConsPlusNormal"/>
        <w:numPr>
          <w:ilvl w:val="0"/>
          <w:numId w:val="49"/>
        </w:numPr>
        <w:tabs>
          <w:tab w:val="left" w:pos="1290"/>
        </w:tabs>
        <w:ind w:left="0" w:firstLine="709"/>
        <w:jc w:val="both"/>
        <w:rPr>
          <w:sz w:val="28"/>
          <w:szCs w:val="28"/>
        </w:rPr>
      </w:pPr>
      <w:r w:rsidRPr="00F03799">
        <w:rPr>
          <w:sz w:val="28"/>
          <w:szCs w:val="28"/>
        </w:rPr>
        <w:t>темпы роста среднемесячной номинальной начисленной заработной платы, % к предыдущему году.</w:t>
      </w:r>
    </w:p>
    <w:p w:rsidR="00034088" w:rsidRPr="00C76EF6" w:rsidRDefault="00034088" w:rsidP="00034088">
      <w:pPr>
        <w:pStyle w:val="ConsPlusNormal"/>
        <w:numPr>
          <w:ilvl w:val="1"/>
          <w:numId w:val="48"/>
        </w:numPr>
        <w:adjustRightInd/>
        <w:ind w:left="0"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>Оценка качества осуществляется пут</w:t>
      </w:r>
      <w:r w:rsidR="00BF3B0D">
        <w:rPr>
          <w:sz w:val="28"/>
          <w:szCs w:val="28"/>
        </w:rPr>
        <w:t>ё</w:t>
      </w:r>
      <w:r w:rsidRPr="00C76EF6">
        <w:rPr>
          <w:sz w:val="28"/>
          <w:szCs w:val="28"/>
        </w:rPr>
        <w:t>м расч</w:t>
      </w:r>
      <w:r w:rsidR="00BF3B0D">
        <w:rPr>
          <w:sz w:val="28"/>
          <w:szCs w:val="28"/>
        </w:rPr>
        <w:t>ё</w:t>
      </w:r>
      <w:r w:rsidRPr="00C76EF6">
        <w:rPr>
          <w:sz w:val="28"/>
          <w:szCs w:val="28"/>
        </w:rPr>
        <w:t>та среднего отклонения отч</w:t>
      </w:r>
      <w:r w:rsidR="00BF3B0D">
        <w:rPr>
          <w:sz w:val="28"/>
          <w:szCs w:val="28"/>
        </w:rPr>
        <w:t>ё</w:t>
      </w:r>
      <w:r w:rsidRPr="00C76EF6">
        <w:rPr>
          <w:sz w:val="28"/>
          <w:szCs w:val="28"/>
        </w:rPr>
        <w:t>тных значений ключевых показателей от прогнозных значений, рассчитанных на отч</w:t>
      </w:r>
      <w:r w:rsidR="00BF3B0D">
        <w:rPr>
          <w:sz w:val="28"/>
          <w:szCs w:val="28"/>
        </w:rPr>
        <w:t>ё</w:t>
      </w:r>
      <w:r w:rsidRPr="00C76EF6">
        <w:rPr>
          <w:sz w:val="28"/>
          <w:szCs w:val="28"/>
        </w:rPr>
        <w:t>тный год, с применением следующих формул: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61"/>
        <w:gridCol w:w="570"/>
        <w:gridCol w:w="6249"/>
        <w:gridCol w:w="1178"/>
        <w:gridCol w:w="97"/>
      </w:tblGrid>
      <w:tr w:rsidR="00034088" w:rsidRPr="00C76EF6" w:rsidTr="00A53F8C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034088" w:rsidRPr="00C76EF6" w:rsidRDefault="00034088" w:rsidP="00034088">
            <w:pPr>
              <w:pStyle w:val="a9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24"/>
                <w:szCs w:val="28"/>
              </w:rPr>
              <w:object w:dxaOrig="11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.75pt" o:ole="" fillcolor="window">
                  <v:imagedata r:id="rId6" o:title=""/>
                </v:shape>
                <o:OLEObject Type="Embed" ProgID="Equation.3" ShapeID="_x0000_i1025" DrawAspect="Content" ObjectID="_1667374356" r:id="rId7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034088" w:rsidRPr="00C76EF6" w:rsidRDefault="00034088" w:rsidP="00034088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(1)</w:t>
            </w:r>
          </w:p>
        </w:tc>
      </w:tr>
      <w:tr w:rsidR="00034088" w:rsidRPr="00C76EF6" w:rsidTr="00A53F8C">
        <w:trPr>
          <w:jc w:val="center"/>
        </w:trPr>
        <w:tc>
          <w:tcPr>
            <w:tcW w:w="2022" w:type="dxa"/>
            <w:gridSpan w:val="2"/>
          </w:tcPr>
          <w:p w:rsidR="00034088" w:rsidRPr="00C76EF6" w:rsidRDefault="00034088" w:rsidP="00034088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:rsidR="00034088" w:rsidRPr="00C76EF6" w:rsidRDefault="00034088" w:rsidP="00034088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034088" w:rsidRPr="00C76EF6" w:rsidTr="00A53F8C">
        <w:trPr>
          <w:gridAfter w:val="1"/>
          <w:wAfter w:w="107" w:type="dxa"/>
          <w:jc w:val="center"/>
        </w:trPr>
        <w:tc>
          <w:tcPr>
            <w:tcW w:w="1384" w:type="dxa"/>
          </w:tcPr>
          <w:p w:rsidR="00034088" w:rsidRPr="00C76EF6" w:rsidRDefault="00034088" w:rsidP="00034088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260" w:dyaOrig="380">
                <v:shape id="_x0000_i1026" type="#_x0000_t75" style="width:14.25pt;height:19.5pt" o:ole="">
                  <v:imagedata r:id="rId8" o:title=""/>
                </v:shape>
                <o:OLEObject Type="Embed" ProgID="Equation.3" ShapeID="_x0000_i1026" DrawAspect="Content" ObjectID="_1667374357" r:id="rId9"/>
              </w:object>
            </w:r>
          </w:p>
        </w:tc>
        <w:tc>
          <w:tcPr>
            <w:tcW w:w="8930" w:type="dxa"/>
            <w:gridSpan w:val="3"/>
          </w:tcPr>
          <w:p w:rsidR="00034088" w:rsidRPr="00C76EF6" w:rsidRDefault="00034088" w:rsidP="00964EC9">
            <w:pPr>
              <w:pStyle w:val="a7"/>
              <w:spacing w:after="0"/>
              <w:ind w:left="0"/>
              <w:jc w:val="left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- среднее отклонение отч</w:t>
            </w:r>
            <w:r w:rsidR="00964EC9">
              <w:rPr>
                <w:rFonts w:cs="Times New Roman"/>
                <w:color w:val="000000"/>
                <w:szCs w:val="28"/>
              </w:rPr>
              <w:t>ё</w:t>
            </w:r>
            <w:r w:rsidRPr="00C76EF6">
              <w:rPr>
                <w:rFonts w:cs="Times New Roman"/>
                <w:color w:val="000000"/>
                <w:szCs w:val="28"/>
              </w:rPr>
              <w:t>тных значений ключевых макропоказателей</w:t>
            </w:r>
          </w:p>
        </w:tc>
      </w:tr>
      <w:tr w:rsidR="00034088" w:rsidRPr="00C76EF6" w:rsidTr="00A53F8C">
        <w:trPr>
          <w:gridAfter w:val="1"/>
          <w:wAfter w:w="107" w:type="dxa"/>
          <w:jc w:val="center"/>
        </w:trPr>
        <w:tc>
          <w:tcPr>
            <w:tcW w:w="1384" w:type="dxa"/>
          </w:tcPr>
          <w:p w:rsidR="00034088" w:rsidRPr="00C76EF6" w:rsidRDefault="00034088" w:rsidP="00034088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2"/>
                <w:szCs w:val="28"/>
              </w:rPr>
              <w:object w:dxaOrig="320" w:dyaOrig="360">
                <v:shape id="_x0000_i1027" type="#_x0000_t75" style="width:16.5pt;height:18.75pt" o:ole="">
                  <v:imagedata r:id="rId10" o:title=""/>
                </v:shape>
                <o:OLEObject Type="Embed" ProgID="Equation.3" ShapeID="_x0000_i1027" DrawAspect="Content" ObjectID="_1667374358" r:id="rId11"/>
              </w:object>
            </w:r>
          </w:p>
        </w:tc>
        <w:tc>
          <w:tcPr>
            <w:tcW w:w="8930" w:type="dxa"/>
            <w:gridSpan w:val="3"/>
          </w:tcPr>
          <w:p w:rsidR="00034088" w:rsidRPr="00C76EF6" w:rsidRDefault="00034088" w:rsidP="00034088">
            <w:pPr>
              <w:pStyle w:val="a7"/>
              <w:spacing w:after="0"/>
              <w:ind w:left="0"/>
              <w:jc w:val="left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 xml:space="preserve">- отклонение по </w:t>
            </w:r>
            <w:proofErr w:type="spellStart"/>
            <w:r w:rsidRPr="00C76EF6">
              <w:rPr>
                <w:rFonts w:cs="Times New Roman"/>
                <w:color w:val="000000"/>
                <w:szCs w:val="28"/>
                <w:lang w:val="en-US"/>
              </w:rPr>
              <w:t>i</w:t>
            </w:r>
            <w:proofErr w:type="spellEnd"/>
            <w:r w:rsidRPr="00C76EF6">
              <w:rPr>
                <w:rFonts w:cs="Times New Roman"/>
                <w:color w:val="000000"/>
                <w:szCs w:val="28"/>
              </w:rPr>
              <w:t>-му ключевому макропоказателей</w:t>
            </w:r>
          </w:p>
        </w:tc>
      </w:tr>
      <w:tr w:rsidR="00034088" w:rsidRPr="00C76EF6" w:rsidTr="00A53F8C">
        <w:trPr>
          <w:gridAfter w:val="1"/>
          <w:wAfter w:w="107" w:type="dxa"/>
          <w:jc w:val="center"/>
        </w:trPr>
        <w:tc>
          <w:tcPr>
            <w:tcW w:w="1384" w:type="dxa"/>
          </w:tcPr>
          <w:p w:rsidR="00034088" w:rsidRPr="00C76EF6" w:rsidRDefault="00034088" w:rsidP="00034088">
            <w:pPr>
              <w:pStyle w:val="a9"/>
              <w:spacing w:after="0"/>
              <w:rPr>
                <w:rFonts w:cs="Times New Roman"/>
                <w:color w:val="000000"/>
                <w:position w:val="-30"/>
                <w:szCs w:val="28"/>
              </w:rPr>
            </w:pPr>
            <w:r w:rsidRPr="00C76EF6">
              <w:rPr>
                <w:rFonts w:cs="Times New Roman"/>
                <w:color w:val="000000"/>
                <w:position w:val="-30"/>
                <w:szCs w:val="28"/>
                <w:lang w:val="en-US"/>
              </w:rPr>
              <w:t>N</w:t>
            </w:r>
          </w:p>
        </w:tc>
        <w:tc>
          <w:tcPr>
            <w:tcW w:w="8930" w:type="dxa"/>
            <w:gridSpan w:val="3"/>
          </w:tcPr>
          <w:p w:rsidR="00034088" w:rsidRPr="00C76EF6" w:rsidRDefault="00034088" w:rsidP="00034088">
            <w:pPr>
              <w:pStyle w:val="a7"/>
              <w:spacing w:after="0"/>
              <w:ind w:left="0"/>
              <w:jc w:val="left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- общее количество ключевых макропоказателей прогноза, используемых для оценки качества прогноза</w:t>
            </w:r>
          </w:p>
        </w:tc>
      </w:tr>
    </w:tbl>
    <w:p w:rsidR="00034088" w:rsidRPr="00C76EF6" w:rsidRDefault="00034088" w:rsidP="0003408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4088" w:rsidRPr="00C76EF6" w:rsidRDefault="00034088" w:rsidP="000340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>Для показателей, которые определяются в рублях или человека (иных натуральных единицах) формула расч</w:t>
      </w:r>
      <w:r w:rsidR="000F271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76EF6">
        <w:rPr>
          <w:rFonts w:ascii="Times New Roman" w:hAnsi="Times New Roman" w:cs="Times New Roman"/>
          <w:color w:val="000000"/>
          <w:sz w:val="28"/>
          <w:szCs w:val="28"/>
        </w:rPr>
        <w:t xml:space="preserve">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080"/>
        <w:gridCol w:w="1275"/>
      </w:tblGrid>
      <w:tr w:rsidR="00034088" w:rsidRPr="00C76EF6" w:rsidTr="00A53F8C">
        <w:trPr>
          <w:trHeight w:val="680"/>
          <w:jc w:val="center"/>
        </w:trPr>
        <w:tc>
          <w:tcPr>
            <w:tcW w:w="9021" w:type="dxa"/>
            <w:vAlign w:val="center"/>
          </w:tcPr>
          <w:p w:rsidR="00034088" w:rsidRPr="00C76EF6" w:rsidRDefault="00034088" w:rsidP="00034088">
            <w:pPr>
              <w:pStyle w:val="a9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32"/>
                <w:szCs w:val="28"/>
              </w:rPr>
              <w:object w:dxaOrig="2700" w:dyaOrig="740">
                <v:shape id="_x0000_i1028" type="#_x0000_t75" style="width:152.25pt;height:40.5pt" o:ole="" fillcolor="window">
                  <v:imagedata r:id="rId12" o:title=""/>
                </v:shape>
                <o:OLEObject Type="Embed" ProgID="Equation.3" ShapeID="_x0000_i1028" DrawAspect="Content" ObjectID="_1667374359" r:id="rId13"/>
              </w:object>
            </w:r>
          </w:p>
        </w:tc>
        <w:tc>
          <w:tcPr>
            <w:tcW w:w="1400" w:type="dxa"/>
            <w:vAlign w:val="center"/>
          </w:tcPr>
          <w:p w:rsidR="00034088" w:rsidRPr="00C76EF6" w:rsidRDefault="00034088" w:rsidP="00034088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(2)</w:t>
            </w:r>
          </w:p>
        </w:tc>
      </w:tr>
    </w:tbl>
    <w:p w:rsidR="00034088" w:rsidRPr="00C76EF6" w:rsidRDefault="00034088" w:rsidP="000340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>Для показателей, которые определяются в процентах, формула расч</w:t>
      </w:r>
      <w:r w:rsidR="000F271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76EF6">
        <w:rPr>
          <w:rFonts w:ascii="Times New Roman" w:hAnsi="Times New Roman" w:cs="Times New Roman"/>
          <w:color w:val="000000"/>
          <w:sz w:val="28"/>
          <w:szCs w:val="28"/>
        </w:rPr>
        <w:t xml:space="preserve">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61"/>
        <w:gridCol w:w="570"/>
        <w:gridCol w:w="6249"/>
        <w:gridCol w:w="1051"/>
        <w:gridCol w:w="224"/>
      </w:tblGrid>
      <w:tr w:rsidR="00034088" w:rsidRPr="00C76EF6" w:rsidTr="00A53F8C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034088" w:rsidRPr="00C76EF6" w:rsidRDefault="00034088" w:rsidP="00034088">
            <w:pPr>
              <w:pStyle w:val="a9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1540" w:dyaOrig="400">
                <v:shape id="_x0000_i1029" type="#_x0000_t75" style="width:87pt;height:21.75pt" o:ole="" fillcolor="window">
                  <v:imagedata r:id="rId14" o:title=""/>
                </v:shape>
                <o:OLEObject Type="Embed" ProgID="Equation.3" ShapeID="_x0000_i1029" DrawAspect="Content" ObjectID="_1667374360" r:id="rId15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034088" w:rsidRPr="00C76EF6" w:rsidRDefault="00034088" w:rsidP="00034088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(3)</w:t>
            </w:r>
          </w:p>
        </w:tc>
      </w:tr>
      <w:tr w:rsidR="00034088" w:rsidRPr="00C76EF6" w:rsidTr="00A53F8C">
        <w:trPr>
          <w:jc w:val="center"/>
        </w:trPr>
        <w:tc>
          <w:tcPr>
            <w:tcW w:w="2022" w:type="dxa"/>
            <w:gridSpan w:val="2"/>
          </w:tcPr>
          <w:p w:rsidR="00034088" w:rsidRPr="00C76EF6" w:rsidRDefault="00034088" w:rsidP="00034088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:rsidR="00034088" w:rsidRPr="00C76EF6" w:rsidRDefault="00034088" w:rsidP="00034088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034088" w:rsidRPr="00C76EF6" w:rsidTr="00A53F8C">
        <w:trPr>
          <w:gridAfter w:val="1"/>
          <w:wAfter w:w="248" w:type="dxa"/>
          <w:jc w:val="center"/>
        </w:trPr>
        <w:tc>
          <w:tcPr>
            <w:tcW w:w="1384" w:type="dxa"/>
          </w:tcPr>
          <w:p w:rsidR="00034088" w:rsidRPr="00C76EF6" w:rsidRDefault="00034088" w:rsidP="00034088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320" w:dyaOrig="380">
                <v:shape id="_x0000_i1030" type="#_x0000_t75" style="width:16.5pt;height:19.5pt" o:ole="">
                  <v:imagedata r:id="rId16" o:title=""/>
                </v:shape>
                <o:OLEObject Type="Embed" ProgID="Equation.3" ShapeID="_x0000_i1030" DrawAspect="Content" ObjectID="_1667374361" r:id="rId17"/>
              </w:object>
            </w:r>
          </w:p>
        </w:tc>
        <w:tc>
          <w:tcPr>
            <w:tcW w:w="8789" w:type="dxa"/>
            <w:gridSpan w:val="3"/>
          </w:tcPr>
          <w:p w:rsidR="00034088" w:rsidRPr="00C76EF6" w:rsidRDefault="00034088" w:rsidP="000F2715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- фактическое значение i-</w:t>
            </w:r>
            <w:proofErr w:type="spellStart"/>
            <w:r w:rsidRPr="00C76EF6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C76EF6">
              <w:rPr>
                <w:rFonts w:cs="Times New Roman"/>
                <w:color w:val="000000"/>
                <w:szCs w:val="28"/>
              </w:rPr>
              <w:t xml:space="preserve"> ключевого макропоказателя за отч</w:t>
            </w:r>
            <w:r w:rsidR="000F2715">
              <w:rPr>
                <w:rFonts w:cs="Times New Roman"/>
                <w:color w:val="000000"/>
                <w:szCs w:val="28"/>
              </w:rPr>
              <w:t>ё</w:t>
            </w:r>
            <w:r w:rsidRPr="00C76EF6">
              <w:rPr>
                <w:rFonts w:cs="Times New Roman"/>
                <w:color w:val="000000"/>
                <w:szCs w:val="28"/>
              </w:rPr>
              <w:t xml:space="preserve">тный год </w:t>
            </w:r>
          </w:p>
        </w:tc>
      </w:tr>
      <w:tr w:rsidR="00034088" w:rsidRPr="00C76EF6" w:rsidTr="00A53F8C">
        <w:trPr>
          <w:gridAfter w:val="1"/>
          <w:wAfter w:w="248" w:type="dxa"/>
          <w:jc w:val="center"/>
        </w:trPr>
        <w:tc>
          <w:tcPr>
            <w:tcW w:w="1384" w:type="dxa"/>
          </w:tcPr>
          <w:p w:rsidR="00034088" w:rsidRPr="00C76EF6" w:rsidRDefault="00034088" w:rsidP="00034088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420" w:dyaOrig="380">
                <v:shape id="_x0000_i1031" type="#_x0000_t75" style="width:22.5pt;height:20.25pt" o:ole="">
                  <v:imagedata r:id="rId18" o:title=""/>
                </v:shape>
                <o:OLEObject Type="Embed" ProgID="Equation.3" ShapeID="_x0000_i1031" DrawAspect="Content" ObjectID="_1667374362" r:id="rId19"/>
              </w:object>
            </w:r>
          </w:p>
        </w:tc>
        <w:tc>
          <w:tcPr>
            <w:tcW w:w="8789" w:type="dxa"/>
            <w:gridSpan w:val="3"/>
          </w:tcPr>
          <w:p w:rsidR="00034088" w:rsidRPr="00C76EF6" w:rsidRDefault="00034088" w:rsidP="000F2715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- прогнозное значение i-</w:t>
            </w:r>
            <w:proofErr w:type="spellStart"/>
            <w:r w:rsidRPr="00C76EF6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C76EF6">
              <w:rPr>
                <w:rFonts w:cs="Times New Roman"/>
                <w:color w:val="000000"/>
                <w:szCs w:val="28"/>
              </w:rPr>
              <w:t xml:space="preserve"> ключевого макропоказателя на год, утвержд</w:t>
            </w:r>
            <w:r w:rsidR="000F2715">
              <w:rPr>
                <w:rFonts w:cs="Times New Roman"/>
                <w:color w:val="000000"/>
                <w:szCs w:val="28"/>
              </w:rPr>
              <w:t>ё</w:t>
            </w:r>
            <w:r w:rsidRPr="00C76EF6">
              <w:rPr>
                <w:rFonts w:cs="Times New Roman"/>
                <w:color w:val="000000"/>
                <w:szCs w:val="28"/>
              </w:rPr>
              <w:t xml:space="preserve">нное в нормативно-правовом акте </w:t>
            </w:r>
            <w:r>
              <w:rPr>
                <w:rFonts w:cs="Times New Roman"/>
                <w:color w:val="000000"/>
                <w:szCs w:val="28"/>
              </w:rPr>
              <w:t xml:space="preserve">муниципального образования </w:t>
            </w:r>
            <w:r w:rsidRPr="00C76EF6">
              <w:rPr>
                <w:rFonts w:cs="Times New Roman"/>
                <w:color w:val="000000"/>
                <w:szCs w:val="28"/>
              </w:rPr>
              <w:t xml:space="preserve">об одобрении прогноза </w:t>
            </w:r>
          </w:p>
        </w:tc>
      </w:tr>
    </w:tbl>
    <w:p w:rsidR="00034088" w:rsidRPr="00C76EF6" w:rsidRDefault="00034088" w:rsidP="0003408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4088" w:rsidRPr="00C76EF6" w:rsidRDefault="00034088" w:rsidP="00034088">
      <w:pPr>
        <w:pStyle w:val="ConsPlusNormal"/>
        <w:numPr>
          <w:ilvl w:val="1"/>
          <w:numId w:val="48"/>
        </w:numPr>
        <w:adjustRightInd/>
        <w:ind w:left="0" w:firstLine="709"/>
        <w:jc w:val="both"/>
        <w:rPr>
          <w:sz w:val="28"/>
          <w:szCs w:val="28"/>
        </w:rPr>
      </w:pPr>
      <w:r w:rsidRPr="00C76EF6">
        <w:rPr>
          <w:sz w:val="28"/>
          <w:szCs w:val="28"/>
        </w:rPr>
        <w:t>В качестве критериев оценки качества прогноза используется следующая градация оценки:</w:t>
      </w:r>
    </w:p>
    <w:p w:rsidR="00034088" w:rsidRPr="00C76EF6" w:rsidRDefault="00034088" w:rsidP="000340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lastRenderedPageBreak/>
        <w:t>если расч</w:t>
      </w:r>
      <w:r w:rsidR="000F2715">
        <w:rPr>
          <w:rFonts w:ascii="Times New Roman" w:hAnsi="Times New Roman" w:cs="Times New Roman"/>
          <w:sz w:val="28"/>
          <w:szCs w:val="28"/>
        </w:rPr>
        <w:t>ё</w:t>
      </w:r>
      <w:r w:rsidRPr="00C76EF6">
        <w:rPr>
          <w:rFonts w:ascii="Times New Roman" w:hAnsi="Times New Roman" w:cs="Times New Roman"/>
          <w:sz w:val="28"/>
          <w:szCs w:val="28"/>
        </w:rPr>
        <w:t xml:space="preserve">тное среднее отклонение </w:t>
      </w:r>
      <w:r w:rsidRPr="00C76EF6">
        <w:rPr>
          <w:rFonts w:ascii="Times New Roman" w:hAnsi="Times New Roman" w:cs="Times New Roman"/>
          <w:color w:val="000000"/>
          <w:sz w:val="28"/>
          <w:szCs w:val="28"/>
        </w:rPr>
        <w:t>отч</w:t>
      </w:r>
      <w:r w:rsidR="000F271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76EF6">
        <w:rPr>
          <w:rFonts w:ascii="Times New Roman" w:hAnsi="Times New Roman" w:cs="Times New Roman"/>
          <w:color w:val="000000"/>
          <w:sz w:val="28"/>
          <w:szCs w:val="28"/>
        </w:rPr>
        <w:t>тных значений ключевых макропоказателей развития экономики от прогнозных значений:</w:t>
      </w:r>
    </w:p>
    <w:p w:rsidR="00034088" w:rsidRPr="00C76EF6" w:rsidRDefault="00034088" w:rsidP="000340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>менее 20% - качество прогноза признается хорошим;</w:t>
      </w:r>
    </w:p>
    <w:p w:rsidR="00034088" w:rsidRPr="00C76EF6" w:rsidRDefault="00034088" w:rsidP="000340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>от 20 до 50% - качество прогноза признается удовлетворительным;</w:t>
      </w:r>
    </w:p>
    <w:p w:rsidR="00034088" w:rsidRDefault="00034088" w:rsidP="000340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 более 50% - качество прогноза признается неудовлетворительным.</w:t>
      </w:r>
    </w:p>
    <w:p w:rsidR="009B4063" w:rsidRPr="00C76EF6" w:rsidRDefault="009B4063" w:rsidP="000340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063">
        <w:rPr>
          <w:rFonts w:ascii="Times New Roman" w:hAnsi="Times New Roman" w:cs="Times New Roman"/>
          <w:color w:val="000000"/>
          <w:sz w:val="28"/>
          <w:szCs w:val="28"/>
        </w:rPr>
        <w:t>Результаты оценки качества прогноза могут быть включены в ежегодный отчёт главы администрации об итогах социально-экономического развития муниципального образования.</w:t>
      </w:r>
    </w:p>
    <w:p w:rsidR="00034088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5071D6">
        <w:rPr>
          <w:spacing w:val="-10"/>
          <w:sz w:val="28"/>
          <w:szCs w:val="28"/>
        </w:rPr>
        <w:t xml:space="preserve">При необходимости, в случае существенного отклонения параметров </w:t>
      </w:r>
      <w:r w:rsidRPr="00C76EF6">
        <w:rPr>
          <w:sz w:val="28"/>
          <w:szCs w:val="28"/>
        </w:rPr>
        <w:t xml:space="preserve">прогноза </w:t>
      </w:r>
      <w:r w:rsidRPr="005071D6">
        <w:rPr>
          <w:spacing w:val="-10"/>
          <w:sz w:val="28"/>
          <w:szCs w:val="28"/>
        </w:rPr>
        <w:t>от фактических</w:t>
      </w:r>
      <w:r w:rsidRPr="00C76EF6">
        <w:rPr>
          <w:sz w:val="28"/>
          <w:szCs w:val="28"/>
        </w:rPr>
        <w:t xml:space="preserve"> данных, а также в случае признания качества прогноза «удовлетворительным» или «неудовлетворительным» принимаются </w:t>
      </w:r>
      <w:r w:rsidRPr="005071D6">
        <w:rPr>
          <w:spacing w:val="-8"/>
          <w:sz w:val="28"/>
          <w:szCs w:val="28"/>
        </w:rPr>
        <w:t>дополнительные мер</w:t>
      </w:r>
      <w:r>
        <w:rPr>
          <w:spacing w:val="-8"/>
          <w:sz w:val="28"/>
          <w:szCs w:val="28"/>
        </w:rPr>
        <w:t>ы по повышению качества прогнозирования</w:t>
      </w:r>
      <w:r w:rsidRPr="005071D6">
        <w:rPr>
          <w:spacing w:val="-8"/>
          <w:sz w:val="28"/>
          <w:szCs w:val="28"/>
        </w:rPr>
        <w:t>: провести мероприяти</w:t>
      </w:r>
      <w:r>
        <w:rPr>
          <w:spacing w:val="-8"/>
          <w:sz w:val="28"/>
          <w:szCs w:val="28"/>
        </w:rPr>
        <w:t>я</w:t>
      </w:r>
      <w:r w:rsidRPr="005071D6">
        <w:rPr>
          <w:spacing w:val="-8"/>
          <w:sz w:val="28"/>
          <w:szCs w:val="28"/>
        </w:rPr>
        <w:t xml:space="preserve"> по актуализации</w:t>
      </w:r>
      <w:r w:rsidRPr="00FC5DFF">
        <w:rPr>
          <w:sz w:val="28"/>
          <w:szCs w:val="28"/>
        </w:rPr>
        <w:t xml:space="preserve"> источников ретроспективной информации, провести обучение специалистов по вопросам прогнозирования социально-экономического развития на муниципальном уровне и др.</w:t>
      </w:r>
    </w:p>
    <w:p w:rsidR="00117BEF" w:rsidRPr="00034088" w:rsidRDefault="00034088" w:rsidP="00034088">
      <w:pPr>
        <w:pStyle w:val="ConsPlusNormal"/>
        <w:numPr>
          <w:ilvl w:val="0"/>
          <w:numId w:val="4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034088">
        <w:rPr>
          <w:sz w:val="28"/>
          <w:szCs w:val="28"/>
        </w:rPr>
        <w:t>Результаты мониторинга контроля и оценка качества прогноза используются (учитываются) при разработке прогноза в следующем плановом периоде</w:t>
      </w:r>
      <w:r>
        <w:rPr>
          <w:sz w:val="28"/>
          <w:szCs w:val="28"/>
        </w:rPr>
        <w:t>.</w:t>
      </w:r>
    </w:p>
    <w:sectPr w:rsidR="00117BEF" w:rsidRPr="00034088" w:rsidSect="00362C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7E"/>
    <w:multiLevelType w:val="hybridMultilevel"/>
    <w:tmpl w:val="6C36F34C"/>
    <w:lvl w:ilvl="0" w:tplc="29CE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3D4B33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F78A9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D5720"/>
    <w:multiLevelType w:val="multilevel"/>
    <w:tmpl w:val="706680B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0BA153F6"/>
    <w:multiLevelType w:val="hybridMultilevel"/>
    <w:tmpl w:val="B5D2AB82"/>
    <w:lvl w:ilvl="0" w:tplc="2F78551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100550CD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760C09"/>
    <w:multiLevelType w:val="hybridMultilevel"/>
    <w:tmpl w:val="1716E992"/>
    <w:lvl w:ilvl="0" w:tplc="5028918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7B2736"/>
    <w:multiLevelType w:val="hybridMultilevel"/>
    <w:tmpl w:val="DE8E9632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D4DB7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AEA4450"/>
    <w:multiLevelType w:val="multilevel"/>
    <w:tmpl w:val="F1C26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1F6C3C25"/>
    <w:multiLevelType w:val="hybridMultilevel"/>
    <w:tmpl w:val="2B3E6BC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C07EB"/>
    <w:multiLevelType w:val="hybridMultilevel"/>
    <w:tmpl w:val="98847468"/>
    <w:lvl w:ilvl="0" w:tplc="797CFD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C2208F"/>
    <w:multiLevelType w:val="hybridMultilevel"/>
    <w:tmpl w:val="AD0C56A2"/>
    <w:lvl w:ilvl="0" w:tplc="F28443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532C4"/>
    <w:multiLevelType w:val="multilevel"/>
    <w:tmpl w:val="B23091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6" w15:restartNumberingAfterBreak="0">
    <w:nsid w:val="28021F78"/>
    <w:multiLevelType w:val="hybridMultilevel"/>
    <w:tmpl w:val="DCA645F6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9231B6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723979"/>
    <w:multiLevelType w:val="hybridMultilevel"/>
    <w:tmpl w:val="37B43E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0AA0"/>
    <w:multiLevelType w:val="hybridMultilevel"/>
    <w:tmpl w:val="820C9F50"/>
    <w:lvl w:ilvl="0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F848A5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42555D"/>
    <w:multiLevelType w:val="hybridMultilevel"/>
    <w:tmpl w:val="1388AC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545597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A952C34"/>
    <w:multiLevelType w:val="hybridMultilevel"/>
    <w:tmpl w:val="39CC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81EAC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A5735B"/>
    <w:multiLevelType w:val="hybridMultilevel"/>
    <w:tmpl w:val="694CF32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34B46C5"/>
    <w:multiLevelType w:val="hybridMultilevel"/>
    <w:tmpl w:val="7D300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20F7D"/>
    <w:multiLevelType w:val="hybridMultilevel"/>
    <w:tmpl w:val="694CF32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FA5CA2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8C31BBB"/>
    <w:multiLevelType w:val="multilevel"/>
    <w:tmpl w:val="F9FE16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BB113DA"/>
    <w:multiLevelType w:val="hybridMultilevel"/>
    <w:tmpl w:val="514A08B4"/>
    <w:lvl w:ilvl="0" w:tplc="7AB4E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D80375"/>
    <w:multiLevelType w:val="multilevel"/>
    <w:tmpl w:val="279E4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1D286B"/>
    <w:multiLevelType w:val="hybridMultilevel"/>
    <w:tmpl w:val="A0AA1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8414B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71E53B6"/>
    <w:multiLevelType w:val="multilevel"/>
    <w:tmpl w:val="4C967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B5A5C77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0D18DB"/>
    <w:multiLevelType w:val="multilevel"/>
    <w:tmpl w:val="7C121F4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5DE308DE"/>
    <w:multiLevelType w:val="multilevel"/>
    <w:tmpl w:val="9D42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609C0A74"/>
    <w:multiLevelType w:val="hybridMultilevel"/>
    <w:tmpl w:val="5E30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D6A4F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78A5958"/>
    <w:multiLevelType w:val="hybridMultilevel"/>
    <w:tmpl w:val="99A00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A33DB"/>
    <w:multiLevelType w:val="hybridMultilevel"/>
    <w:tmpl w:val="12AEF95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 w15:restartNumberingAfterBreak="0">
    <w:nsid w:val="69EF54E6"/>
    <w:multiLevelType w:val="hybridMultilevel"/>
    <w:tmpl w:val="38C075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BEE5BFE"/>
    <w:multiLevelType w:val="multilevel"/>
    <w:tmpl w:val="D4A42E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5" w15:restartNumberingAfterBreak="0">
    <w:nsid w:val="6FD45B2F"/>
    <w:multiLevelType w:val="multilevel"/>
    <w:tmpl w:val="A366F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6" w15:restartNumberingAfterBreak="0">
    <w:nsid w:val="70CF0B4A"/>
    <w:multiLevelType w:val="hybridMultilevel"/>
    <w:tmpl w:val="A34659A8"/>
    <w:lvl w:ilvl="0" w:tplc="29CE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4966B1D"/>
    <w:multiLevelType w:val="hybridMultilevel"/>
    <w:tmpl w:val="23446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049D8"/>
    <w:multiLevelType w:val="hybridMultilevel"/>
    <w:tmpl w:val="3572C198"/>
    <w:lvl w:ilvl="0" w:tplc="29CE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EE443B8"/>
    <w:multiLevelType w:val="hybridMultilevel"/>
    <w:tmpl w:val="6F880E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9"/>
  </w:num>
  <w:num w:numId="3">
    <w:abstractNumId w:val="35"/>
  </w:num>
  <w:num w:numId="4">
    <w:abstractNumId w:val="42"/>
  </w:num>
  <w:num w:numId="5">
    <w:abstractNumId w:val="23"/>
  </w:num>
  <w:num w:numId="6">
    <w:abstractNumId w:val="11"/>
  </w:num>
  <w:num w:numId="7">
    <w:abstractNumId w:val="3"/>
  </w:num>
  <w:num w:numId="8">
    <w:abstractNumId w:val="37"/>
  </w:num>
  <w:num w:numId="9">
    <w:abstractNumId w:val="29"/>
  </w:num>
  <w:num w:numId="10">
    <w:abstractNumId w:val="15"/>
  </w:num>
  <w:num w:numId="11">
    <w:abstractNumId w:val="44"/>
  </w:num>
  <w:num w:numId="12">
    <w:abstractNumId w:val="45"/>
  </w:num>
  <w:num w:numId="13">
    <w:abstractNumId w:val="31"/>
  </w:num>
  <w:num w:numId="14">
    <w:abstractNumId w:val="30"/>
  </w:num>
  <w:num w:numId="15">
    <w:abstractNumId w:val="46"/>
  </w:num>
  <w:num w:numId="16">
    <w:abstractNumId w:val="48"/>
  </w:num>
  <w:num w:numId="17">
    <w:abstractNumId w:val="0"/>
  </w:num>
  <w:num w:numId="18">
    <w:abstractNumId w:val="40"/>
  </w:num>
  <w:num w:numId="19">
    <w:abstractNumId w:val="43"/>
  </w:num>
  <w:num w:numId="20">
    <w:abstractNumId w:val="33"/>
  </w:num>
  <w:num w:numId="21">
    <w:abstractNumId w:val="10"/>
  </w:num>
  <w:num w:numId="22">
    <w:abstractNumId w:val="17"/>
  </w:num>
  <w:num w:numId="23">
    <w:abstractNumId w:val="25"/>
  </w:num>
  <w:num w:numId="24">
    <w:abstractNumId w:val="27"/>
  </w:num>
  <w:num w:numId="25">
    <w:abstractNumId w:val="28"/>
  </w:num>
  <w:num w:numId="26">
    <w:abstractNumId w:val="1"/>
  </w:num>
  <w:num w:numId="27">
    <w:abstractNumId w:val="20"/>
  </w:num>
  <w:num w:numId="28">
    <w:abstractNumId w:val="22"/>
  </w:num>
  <w:num w:numId="29">
    <w:abstractNumId w:val="36"/>
  </w:num>
  <w:num w:numId="30">
    <w:abstractNumId w:val="2"/>
  </w:num>
  <w:num w:numId="31">
    <w:abstractNumId w:val="24"/>
  </w:num>
  <w:num w:numId="32">
    <w:abstractNumId w:val="5"/>
  </w:num>
  <w:num w:numId="33">
    <w:abstractNumId w:val="18"/>
  </w:num>
  <w:num w:numId="34">
    <w:abstractNumId w:val="21"/>
  </w:num>
  <w:num w:numId="35">
    <w:abstractNumId w:val="16"/>
  </w:num>
  <w:num w:numId="36">
    <w:abstractNumId w:val="32"/>
  </w:num>
  <w:num w:numId="37">
    <w:abstractNumId w:val="19"/>
  </w:num>
  <w:num w:numId="38">
    <w:abstractNumId w:val="12"/>
  </w:num>
  <w:num w:numId="39">
    <w:abstractNumId w:val="9"/>
  </w:num>
  <w:num w:numId="40">
    <w:abstractNumId w:val="41"/>
  </w:num>
  <w:num w:numId="41">
    <w:abstractNumId w:val="49"/>
  </w:num>
  <w:num w:numId="42">
    <w:abstractNumId w:val="7"/>
  </w:num>
  <w:num w:numId="43">
    <w:abstractNumId w:val="47"/>
  </w:num>
  <w:num w:numId="44">
    <w:abstractNumId w:val="26"/>
  </w:num>
  <w:num w:numId="45">
    <w:abstractNumId w:val="38"/>
  </w:num>
  <w:num w:numId="46">
    <w:abstractNumId w:val="4"/>
  </w:num>
  <w:num w:numId="47">
    <w:abstractNumId w:val="6"/>
  </w:num>
  <w:num w:numId="48">
    <w:abstractNumId w:val="34"/>
  </w:num>
  <w:num w:numId="49">
    <w:abstractNumId w:val="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F"/>
    <w:rsid w:val="0000557E"/>
    <w:rsid w:val="00032052"/>
    <w:rsid w:val="00034088"/>
    <w:rsid w:val="000563F5"/>
    <w:rsid w:val="00067914"/>
    <w:rsid w:val="00091C07"/>
    <w:rsid w:val="000A1092"/>
    <w:rsid w:val="000F034A"/>
    <w:rsid w:val="000F2715"/>
    <w:rsid w:val="0010055B"/>
    <w:rsid w:val="00117BEF"/>
    <w:rsid w:val="00123656"/>
    <w:rsid w:val="00136AEF"/>
    <w:rsid w:val="001405E5"/>
    <w:rsid w:val="00142699"/>
    <w:rsid w:val="00161C37"/>
    <w:rsid w:val="001717B7"/>
    <w:rsid w:val="0017284A"/>
    <w:rsid w:val="00172C6E"/>
    <w:rsid w:val="001E2137"/>
    <w:rsid w:val="001F4BB4"/>
    <w:rsid w:val="0022254F"/>
    <w:rsid w:val="00226544"/>
    <w:rsid w:val="00243FB5"/>
    <w:rsid w:val="002642E8"/>
    <w:rsid w:val="002662DB"/>
    <w:rsid w:val="00276F32"/>
    <w:rsid w:val="002A47C6"/>
    <w:rsid w:val="002A4DF3"/>
    <w:rsid w:val="002A55D8"/>
    <w:rsid w:val="002A7087"/>
    <w:rsid w:val="002A7BE8"/>
    <w:rsid w:val="002B7F01"/>
    <w:rsid w:val="00301B8A"/>
    <w:rsid w:val="00321776"/>
    <w:rsid w:val="00362CBC"/>
    <w:rsid w:val="003651DA"/>
    <w:rsid w:val="00385D0D"/>
    <w:rsid w:val="003B02B2"/>
    <w:rsid w:val="003B4534"/>
    <w:rsid w:val="003B4B13"/>
    <w:rsid w:val="003C2C1C"/>
    <w:rsid w:val="003E6320"/>
    <w:rsid w:val="00434415"/>
    <w:rsid w:val="004346B0"/>
    <w:rsid w:val="00437D96"/>
    <w:rsid w:val="0044460F"/>
    <w:rsid w:val="00484C61"/>
    <w:rsid w:val="004A0890"/>
    <w:rsid w:val="004A57AC"/>
    <w:rsid w:val="004E742A"/>
    <w:rsid w:val="00501BD0"/>
    <w:rsid w:val="00505127"/>
    <w:rsid w:val="00515799"/>
    <w:rsid w:val="00517095"/>
    <w:rsid w:val="00521C38"/>
    <w:rsid w:val="00535163"/>
    <w:rsid w:val="005374F1"/>
    <w:rsid w:val="005552AC"/>
    <w:rsid w:val="005A16F7"/>
    <w:rsid w:val="005A5944"/>
    <w:rsid w:val="005E05D8"/>
    <w:rsid w:val="00604446"/>
    <w:rsid w:val="0065625A"/>
    <w:rsid w:val="00685B04"/>
    <w:rsid w:val="00685F32"/>
    <w:rsid w:val="006A701A"/>
    <w:rsid w:val="006B62FE"/>
    <w:rsid w:val="006C0884"/>
    <w:rsid w:val="006F1DD6"/>
    <w:rsid w:val="00701356"/>
    <w:rsid w:val="00711BF5"/>
    <w:rsid w:val="00714D91"/>
    <w:rsid w:val="00730BCD"/>
    <w:rsid w:val="0075275E"/>
    <w:rsid w:val="00753EE5"/>
    <w:rsid w:val="00763891"/>
    <w:rsid w:val="007656B2"/>
    <w:rsid w:val="007B5AAB"/>
    <w:rsid w:val="007D3BFD"/>
    <w:rsid w:val="007E7503"/>
    <w:rsid w:val="008041C3"/>
    <w:rsid w:val="00882270"/>
    <w:rsid w:val="008E3235"/>
    <w:rsid w:val="008F4B03"/>
    <w:rsid w:val="009459AE"/>
    <w:rsid w:val="00964EC9"/>
    <w:rsid w:val="00975E2B"/>
    <w:rsid w:val="0098388F"/>
    <w:rsid w:val="00986DD4"/>
    <w:rsid w:val="00991837"/>
    <w:rsid w:val="00996A37"/>
    <w:rsid w:val="009A0845"/>
    <w:rsid w:val="009B4063"/>
    <w:rsid w:val="009D158E"/>
    <w:rsid w:val="009F0B0C"/>
    <w:rsid w:val="00A02FB4"/>
    <w:rsid w:val="00A06124"/>
    <w:rsid w:val="00A073F5"/>
    <w:rsid w:val="00A23512"/>
    <w:rsid w:val="00A41DE3"/>
    <w:rsid w:val="00A57CBD"/>
    <w:rsid w:val="00A60A13"/>
    <w:rsid w:val="00A62786"/>
    <w:rsid w:val="00A67155"/>
    <w:rsid w:val="00A67E7E"/>
    <w:rsid w:val="00AC5CD7"/>
    <w:rsid w:val="00AD2D8A"/>
    <w:rsid w:val="00AF5BE8"/>
    <w:rsid w:val="00AF6533"/>
    <w:rsid w:val="00B24B25"/>
    <w:rsid w:val="00B41CB1"/>
    <w:rsid w:val="00B658E7"/>
    <w:rsid w:val="00B837CF"/>
    <w:rsid w:val="00B9226F"/>
    <w:rsid w:val="00B93E36"/>
    <w:rsid w:val="00BA1D72"/>
    <w:rsid w:val="00BA3C61"/>
    <w:rsid w:val="00BA41FA"/>
    <w:rsid w:val="00BD67ED"/>
    <w:rsid w:val="00BF3B0D"/>
    <w:rsid w:val="00C26D6D"/>
    <w:rsid w:val="00C27CB7"/>
    <w:rsid w:val="00C3504E"/>
    <w:rsid w:val="00C357A4"/>
    <w:rsid w:val="00C64E9C"/>
    <w:rsid w:val="00CB67EC"/>
    <w:rsid w:val="00CD4FBB"/>
    <w:rsid w:val="00D33787"/>
    <w:rsid w:val="00D46F85"/>
    <w:rsid w:val="00D51F3E"/>
    <w:rsid w:val="00D82396"/>
    <w:rsid w:val="00DA6F27"/>
    <w:rsid w:val="00E17D86"/>
    <w:rsid w:val="00E62CBA"/>
    <w:rsid w:val="00E65C61"/>
    <w:rsid w:val="00E67873"/>
    <w:rsid w:val="00E85E73"/>
    <w:rsid w:val="00E87D18"/>
    <w:rsid w:val="00EC01E6"/>
    <w:rsid w:val="00EC1B25"/>
    <w:rsid w:val="00EE29F3"/>
    <w:rsid w:val="00EF2905"/>
    <w:rsid w:val="00F04E08"/>
    <w:rsid w:val="00F05FB2"/>
    <w:rsid w:val="00F256B0"/>
    <w:rsid w:val="00F33F29"/>
    <w:rsid w:val="00F36213"/>
    <w:rsid w:val="00F6464F"/>
    <w:rsid w:val="00F72531"/>
    <w:rsid w:val="00F85B9C"/>
    <w:rsid w:val="00F939C9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">
    <w:name w:val="Основной текст (2)_"/>
    <w:link w:val="20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gasu.gov.ru/stratpassport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Арина</cp:lastModifiedBy>
  <cp:revision>2</cp:revision>
  <cp:lastPrinted>2020-11-19T09:00:00Z</cp:lastPrinted>
  <dcterms:created xsi:type="dcterms:W3CDTF">2020-11-20T07:46:00Z</dcterms:created>
  <dcterms:modified xsi:type="dcterms:W3CDTF">2020-11-20T07:46:00Z</dcterms:modified>
</cp:coreProperties>
</file>