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CA" w:rsidRPr="00AD7DCA" w:rsidRDefault="00AD7DCA" w:rsidP="00AD7DC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</w:p>
    <w:p w:rsidR="00AD7DCA" w:rsidRPr="00AD7DCA" w:rsidRDefault="00AD7DCA" w:rsidP="00AD7D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0"/>
            <wp:docPr id="9" name="Рисунок 9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CA" w:rsidRPr="00AD7DCA" w:rsidRDefault="00AD7DCA" w:rsidP="00AD7DC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>СОВЕТ ДЕПУТАТОВ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>МУНИЦИПАЛЬНОГО ОБРАЗОВАНИЯ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>«МУРИНСКОЕ СЕЛЬСКОЕ ПОСЕЛЕНИЕ»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>ВСЕВОЛОЖСКОГО МУНИЦИПАЛЬНОГО РАЙОНА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>ЛЕНИНГРАДСКОЙ ОБЛАСТИ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D7DCA" w:rsidRPr="00AD7DCA" w:rsidRDefault="00AD7DCA" w:rsidP="00AD7D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РЕШЕНИЕ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AD7DCA" w:rsidRPr="00AD7DCA" w:rsidRDefault="00AD7DCA" w:rsidP="00AD7DC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п. Мурино                                     </w:t>
      </w:r>
      <w:r w:rsidR="002C15B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  </w:t>
      </w: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№ </w:t>
      </w:r>
      <w:r w:rsidR="002C15BB">
        <w:rPr>
          <w:rFonts w:ascii="Times New Roman" w:eastAsia="Arial Unicode MS" w:hAnsi="Times New Roman" w:cs="Times New Roman"/>
          <w:kern w:val="1"/>
          <w:sz w:val="28"/>
          <w:szCs w:val="28"/>
        </w:rPr>
        <w:t>15</w:t>
      </w:r>
      <w:r w:rsidRPr="00AD7DC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от </w:t>
      </w:r>
      <w:r w:rsidR="002C15BB">
        <w:rPr>
          <w:rFonts w:ascii="Times New Roman" w:eastAsia="Arial Unicode MS" w:hAnsi="Times New Roman" w:cs="Times New Roman"/>
          <w:kern w:val="1"/>
          <w:sz w:val="28"/>
          <w:szCs w:val="28"/>
        </w:rPr>
        <w:t>30 октября  2014г.</w:t>
      </w:r>
    </w:p>
    <w:p w:rsidR="00AD7DCA" w:rsidRPr="00AD7DCA" w:rsidRDefault="00AD7DCA" w:rsidP="00AD7DC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D7DCA" w:rsidRPr="00AD7DCA" w:rsidRDefault="00AD7DCA" w:rsidP="00AD7DCA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D7DCA" w:rsidRPr="00AD7DCA" w:rsidRDefault="00AD7DCA" w:rsidP="00AD7DC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Методических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рекомендаций по разработке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программ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«Муринское сельское поселение»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Всеволожского муниципального района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Ленинградской области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7DCA" w:rsidRPr="00AD7DCA" w:rsidRDefault="00AD7DCA" w:rsidP="00AD7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положений статьи 179 Бюджетного кодекса Российской Федерации и совершенствования бюджетного процесса в муниципальном образовании «Муринское сельское поселение» Всеволожского муниципального района Ленинградской области и в целях совершенствования программно-целевого планирования Советом депутатов муниципального образования «Муринское сельское поселение» Всеволожского муниципального района Ленинградской области принято</w:t>
      </w:r>
    </w:p>
    <w:p w:rsidR="00AD7DCA" w:rsidRPr="00AD7DCA" w:rsidRDefault="00AD7DCA" w:rsidP="00AD7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AD7DCA" w:rsidRPr="00AD7DCA" w:rsidRDefault="00AD7DCA" w:rsidP="00AD7D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Методические рекомендации по разработке муниципальных программ </w:t>
      </w: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Методические рекомендации) согласно  приложению 1.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финансово-экономический отдел администрации</w:t>
      </w: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методологическому содействию по разработке муниципальных программ. </w:t>
      </w: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 вступает в силу с  момента его</w:t>
      </w:r>
      <w:r w:rsidR="00B8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r w:rsidRPr="00AD7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«Муринские вести» и на официальном сайте в сети Интернет.</w:t>
      </w: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5.Контроль за исполнением настоящего решения возложить на комиссию по вопросам местного самоуправления, гласности, законности и правопорядка.</w:t>
      </w: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</w:p>
    <w:p w:rsidR="00AD7DCA" w:rsidRPr="00AD7DCA" w:rsidRDefault="002C15BB" w:rsidP="002C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муниципального образования</w:t>
      </w:r>
      <w:r w:rsidRPr="00AD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В.Ф. Гаркавый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15BB" w:rsidRDefault="002C15BB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15BB" w:rsidRPr="00AD7DCA" w:rsidRDefault="002C15BB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2C15BB" w:rsidP="00AD7DC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</w:t>
      </w:r>
      <w:r w:rsidR="00AD7DCA"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 совета депутатов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5664" w:firstLine="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  Всеволожского муниципального района Ленинградской области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от </w:t>
      </w:r>
      <w:r w:rsidR="002C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30 октября  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2014 года </w:t>
      </w:r>
      <w:r w:rsidR="002C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 </w:t>
      </w:r>
      <w:r w:rsidR="002C1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5664" w:firstLine="9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5664" w:firstLine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разработке муниципальных программ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       муниципального района Ленинградской области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Методические рекомендации по разработке муниципальных программ (далее – Методические рекомендации) разработаны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методологического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содействия по разработке муниципальных программ в условиях перехода на формирование местного бюджета на трехлетний период по программно-целевому принципу.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понятия, применяемые в целях настоящих Методических рекомендаций: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документ муниципального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определенной сфере деятельности;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подпрограмма муниципальной программы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подпрограмма) - комплекс взаимоувязанных по целям, срокам и ресурсам мероприятий, нацеленных на решение конкретных задач в рамках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координатор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должностное лицо из числа заместителей главы администрации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заказчик программы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 местного самоуправления (структурное подразделение Администрации)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осуществляющий в пределах своих полномочий разработку муниципальной программы и ее реализацию, а также координацию деятельности ответственных исполнителей по подготовке проекта программы и ее реализации, по формированию отчетности для мониторинга и оценки эффективности исполнения программных мероприятий;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 исполнитель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структурное подразделение, ответственное за соответствующее направление деятельности; </w:t>
      </w:r>
    </w:p>
    <w:p w:rsidR="00AD7DCA" w:rsidRPr="00AD7DCA" w:rsidRDefault="00AD7DCA" w:rsidP="00AD7D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за период реализации муниципальной программы (подпрограммы) конечный результат социально-экономического развития </w:t>
      </w:r>
      <w:r w:rsidRPr="00AD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реализации мероприятий муниципальной программы (подпрограммы);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взаимоувязанных мероприятий, направленных на достижение цели (целей) реализации муниципальной программы (подпрограммы);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мероприятие муниципальной программы (подпрограммы)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взаимосвязанных действий, направленных на решение задачи муниципальной программы (подпрограммы);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показатель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показатель, позволяющий в количественном и (или) качественном выражении оценить результат достижения поставленных целей (задач);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результативность муниципальной программы (подпрограммы)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степень достижения запланированных результатов;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муниципальной программы (подпрограммы)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соотношение достигнутых результатов и ресурсов, затраченных на их достижение. </w:t>
      </w:r>
    </w:p>
    <w:p w:rsidR="00AD7DCA" w:rsidRPr="00AD7DCA" w:rsidRDefault="00AD7DCA" w:rsidP="00AD7DC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Органами местного самоуправления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принятии решения о переходе на формирование местного бюджета по программно-целевому принципу разрабатываются нормативные правовые акты, определяющие: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разработки и реализации муниципальных программ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муниципальных программ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по разработке муниципальных программ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изменений в нормативные правовые акты, определяющие порядок составления, утверждения и исполнения бюджета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Муниципальные программы утверждаются нормативным правовым актом администрации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позднее, чем за месяц до внесения проектов решений о бюджетах на рассмотрение представительных органов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Нормативные правовые акты по разработке муниципальных программ и муниципальные программы (проекты муниципальных программ) размещаются на официальном сайте администрации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отдельном разделе «Муниципальные программы».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Действие муниципальных целевых программ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Продолжение реализации мероприятий, предусмотренных в рамках муниципальных целевых программ, осуществляется путем включения указанных мероприятий в формируемые муниципальные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Действие муниципальных целевых программ, независимо от даты их утверждения рекомендуется завершать годом, предшествующим году начала реализации муниципальных программ.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Определение перечня муниципальных программ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Основой для формирования перечня муниципальных программ являются вопросы местного значения, предусмотренные Федеральным законом от 06.10.2003 № 131-ФЗ «Об общих принципах организации местного самоуправления в Российской Федерации».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учитывать: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государственные полномочия в соответствии с законодательством Ленинградской области;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условия предоставления субсидий на </w:t>
      </w: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Всеволожского района и Ленинградской области (в случае заинтересованности в получении соответствующих субсидий);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государственных программ Ленинградской области.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Перечень муниципальных программ формируется на основе Примерного перечня муниципальных программ, разработанного </w:t>
      </w:r>
      <w:proofErr w:type="gram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 Ленинградской</w:t>
      </w:r>
      <w:proofErr w:type="gram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 Данный перечень адаптируется к условиям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с иным структурированием муниципальных программ, с большей детализацией, с увеличением количества подпрограмм с учетом переданных государственных полномочий и т.п.).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Муниципальные программы должны охватывать основные сферы деятельности органов местного самоуправления и учитывать основные направления социально-экономического развития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Основой для выделения программы должен являться принцип определения соответствующей сферы социально-экономического развития и направленность мероприятий программы на достижение единой цели (группы целей).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Для каждой муниципальной программы должны быть определены координатор, муниципальный заказчик программы, ответственные исполнители.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Внесение изменений в перечень может осуществляться на основании постановления администрации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июля текущего финансового года на основании предложений структурного подразделения администрации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компетенции которого отнесена подготовка предложений по порядку разработки и реализации муниципальных программ.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Указанное положение не распространяется на внесение изменений в перечень, в части включения новой муниципальной программы, подлежащей разработке, финансовое обеспечение которой осуществляется исключительно за счет средств вышестоящих бюджетов или внебюджетных источников.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Актуализация программ комплексного социально-экономического развития муниципальных образований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Программы комплексного социально-экономического развития подлежат актуализации в части разработки муниципальных программ в соответствии со статьей 179 Бюджетного кодекса Российской Федерации.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Актуализация указанных программ и разработка муниципальных программ должны исходить из тактических целей социально-экономического развития Российской Федерации, Ленинградской области, Всеволожского </w:t>
      </w: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 и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области.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Формирование проектов муниципальных программ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Муниципальная программа разрабатывается на срок не менее трёх лет.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 реализации муниципальной программы должен соответствовать сроку реализации соответствующей государственной программы Ленинградской области, направленной на достижение аналогичных цели и задач.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Муниципальная программа может включать в себя подпрограммы, которые являются неотъемлемой частью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муниципальной программы на подпрограммы осуществляется исходя из масштабности и сложности решаемых задач в рамках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подпрограмма может быть направлена на решение одной или нескольких задач муниципальной программы.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Разработка муниципальной программы (подпрограммы) осуществляется структурным подразделением администрации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определенным в качестве муниципального заказчика муниципальной программы (подпрограммы) (далее – муниципальный заказчик).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Реализация муниципальной программы осуществляется муниципальным заказчиком совместно с заинтересованными структурными подразделениями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ответственными за выполнение мероприятий муниципальной программы (далее – ответственные исполнители) и (или) участниками муниципальной программы, а также (в случае необходимости) юридическими и (или) физическими лицами.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Финансовое обеспечение реализации муниципальной программы осуществляется за счет средств бюджета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 счет привлеченных средств из дополнительных источников в соответствии с законодательством Российской Федерации (федеральный бюджет, бюджет Ленинградской области, внебюджетные источники).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 должны включаться в состав муниципальной программы расходы на содержание представительного органа, органов финансового контроля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которых напрямую не связана с достижением каких-либо социально значимых результатов.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требования к структуре муниципальной программы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муниципальную программу включаются следующие основные разделы: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часть муниципальной программы, которая содержит: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общую характеристику сферы деятельности, в рамках которой реализуется муниципальная программа, в том числе основные проблемы в указанной сфере;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 развития соответствующей сферы реализации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целей и задач муниципальной программы;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целевые показатели (индикаторы) в количественном и/или качественном выражении, характеризующие достижение поставленных целей и задач;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и краткое описание подпрограмм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мероприятий, направленных на достижение целей и задач в сфере реализации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ресурсное обеспечение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объема финансовых ресурсов, необходимых для реализации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взаимодействия ответственного за выполнение мероприятия подпрограммы с муниципальным заказчиком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методика расчета значений показателей эффективности и результативности реализации подпрограммы;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состав, форма и сроки представления отчетности о ходе реализации мероприятий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Муниципальная программа может содержать иные разделы, необходимые для ее эффективной, полной и своевременной реализации, с учетом специфики формирования государственных </w:t>
      </w:r>
      <w:proofErr w:type="gram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Ленинградской</w:t>
      </w:r>
      <w:proofErr w:type="gram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принятых в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«Муринское сельское поселение» Всеволожского муниципального района Ленинградской области 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Требования к структуре и содержанию разделов подпрограммы аналогичны требованиям, предъявляемым к структуре и содержанию разделов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Требования к определению целей и задач муниципальной программы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Цель муниципальной программы формулируется исходя из тактических целей, поставленных в программах Российской Федерации, Ленинградской области и Всеволожского района,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области.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одной муниципальной программы рекомендуется формулировать одну цель.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Цель должна обладать следующими свойствами: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специфичность - цель должна соответствовать сфере реализации муниципальной программы;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конкретность - не допускаются размытые (нечеткие) формулировки, допускающие произвольное или неоднозначное толкование;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измеримость - достижение цели можно оценить и измерить количественными показателями;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достижимость - цель должна быть достижима за период реализации муниципальной программы при установленном объеме финансирования;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релевантность - соответствие формулировки цели ожидаемым конечным результатам реализации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Формулировка цели должна быть краткой и ясной и не должна содержать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формулируются, в том числе с учетом целей федеральных программ (государственных, целевых, ведомственных целевых), Указов Президента Российской Федерации, направленных на совершенствование государственной политики в сферах реализации государственных программ, программных обращений Губернатора Ленинградской области, государственных программ Ленинградской области.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Задача муниципальной программы определяет конечный результат реализации совокупности взаимосвязанных мероприятий в рамках достижения цели реализации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Сформулированные задачи должны быть необходимы и достаточны для достижения соответствующей цели.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представляют собой направления и способы деятельности, обеспечивающие достижение поставленной цели за период реализации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Требования к формулированию целей и задач подпрограмм аналогичны требованиям, предъявляемым к формулированию цели и задач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Цель и задачи муниципальной программы (подпрограммы) не должны дублировать цель и задачи иных муниципальных программ (подпрограмм).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Требования к показателям муниципальной программы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разработке муниципальной программы должны учитываться показатели в соответствии с целями социально-экономического развития, а также: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Указов Президента Российской Федерации от 07.05.2012 № 596-601, № 761, № 1866 и от 10.09.2012 № 1276 и планов мероприятий «дорожных карт», направленных на их реализацию;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предусмотренные государственными программами Российской Федерации (в том числе федеральными целевыми, ведомственными целевыми);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обращения Губернатора Ленинградской области;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предусмотренные государственными программами Ленинградской области;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для оценки эффективности деятельности органов местного самоуправления.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Используемые показатели должны соответствовать следующим требованиям: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адекватность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 должен очевидным образом характеризовать прогресс достижения цели или решения задачи и охватывать все существенные аспекты достижения цели или решения задачи муниципальной программы (подпрограммы);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точность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погрешности измерения не должны приводить к искаженному представлению о результатах реализации муниципальной программы (подпрограммы);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достоверность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(подпрограммы);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сопоставимость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 показателей следует осуществлять исходя из необходимости непрерывного накопления данных и обеспечения их сопоставимости за отдельные периоды;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экономичность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своевременность и регулярность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Показатели муниципальной программы (подпрограммы) должны характеризовать достижение цели муниципальной программы и обеспечивать возможность проверки и подтверждения достижения и решения целей и задач.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Показатели должны иметь запланированные по годам количественные и (или) качественные значения, измеряемые или рассчитываемые по утвержденным методикам.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 и т.д.).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показателей, определяемых исходя из данных государственного (федерального) статистического наблюдения, необходимо указать реквизиты нормативного правового акта, которым утверждены формы отчетности, используемые при формировании статистического показателя.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формирования показателя представляет собой методику количественного (формульного) исчисления показателя и необходимые пояснения к ней.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 к показателю должны отражать его наименование, единицу измерения, рекомендации по сбору, обработке, интерпретации значений показателя.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базового показателя рекомендуется определять, в том числе на основе статистических показателей по отчетному финансовому году на момент формирования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При описании основных ожидаемых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 случае оказания муниципальными учреждениями муниципальных услуг юридическим и (или) физическим лицам в рамках муниципальной программы в нее включается прогноз сводных показателей муниципальных заданий по годам реализации муниципальной программы в соответствии с муниципальными правовыми актами, регулирующими порядок формирования и финансового обеспечения выполнения муниципального задания муниципальными учреждениями.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объема финансовых ресурсов, направленных на содержание муниципальных учреждений, осуществляется с учетом прогнозных объемов предоставления муниципальных услуг в соответствии с муниципальным заданием.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Требования к перечню мероприятий муниципальной программы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Наименования мероприятий формулируются как дробные действия определенного содержания и масштаба.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должен отражать наиболее экономичный способ решения задачи.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Наименование мероприятия должно быть конкретным и содержать количественные характеристики.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указание в наименовании мероприятия всех параметров, которые позволяют оценить его стоимость, ведет к чрезмерному удлинению и усложнению наименования мероприятия, то часть параметров целесообразно отразить в поясняющих материалах, содержащих обоснование расходов на осуществление программных мероприятий.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 качестве мероприятий в муниципальную программу (подпрограммы) могут включаться: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либо участие в различных выставках, фестивалях, конкурсах, семинарах;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оборудования, оргтехники, расходных материалов и т.п.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строительство, реконструкция и капитальный ремонт. При этом, объекты капитальных вложений указываются в перечне мероприятий либо (в случае большого количества) отдельным приложением к перечню мероприятий;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подведомственных муниципальных учреждений;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отдельных нормативных правовых актов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регламентирующих основную деятельность администрации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работы и другие мероприятия.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9.4. Включение в муниципальную программу (подпрограмму) мероприятий, предусматривающих: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инвестиции в строительство и реконструкцию объектов муниципальной собственности, осуществляется при наличии решения администрации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</w:t>
      </w:r>
      <w:proofErr w:type="gramStart"/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бюджетных инвестиций в объекты капитального строительства, принятыми в соответствии с требованиями пункта 2 статьи 79 Бюджетного кодекса Российской Федерации;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на строительство и реконструкцию объектов муниципальной собственности осуществляется при наличии заключения об эффективности использования средств бюджета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направляемых на капитальные вложения, подготавливаемого в соответствии с муниципальным правовым актом, регламентирующим порядок проведения проверки инвестиционных проектов на предмет эффективности использования бюджетных средств;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конкуренции для социально значимых и приоритетных рынков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также системных мероприятий, направленных на развитие конкурентной среды в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том числе: на оптимизацию процедур муниципальных закупок; на устранение и снижение административных барьеров; на совершенствование процессов управления объектами муниципальной собственности; на стимулирование новых предпринимательских инициатив за счет проведения образовательных мероприятий; на обеспечение равных условий доступа к информации о реализации муниципального имущества;  социальную поддержку населению.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 перечень мероприятий обеспечивающей подпрограммы (либо раздел «Обеспечение деятельности» муниципальной программы) включаются следующие мероприятия: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и начисления на выплаты по оплате труда;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налога на имущество организаций и земельного налога;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текущего ремонта зданий и сооружений (при необходимости);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капитального ремонта зданий и сооружений (при необходимости);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объектов, относящихся к основным средствам;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выставок, семинаров, если они не направлены решение задач иных подпрограмм;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единовременных мероприятий (при необходимости);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мероприятия, необходимые для обеспечения деятельности.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Результат мероприятий должен указываться по возможности в количественном выражении и должен отражать непосредственный итог реализации мероприятия (количество закупленного оборудования, объем выполненных работ по строительству или реконструкции, проведение массового культурного или спортивного мероприятия с указанием количества участников).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В целях обеспечения контроля и мониторинга реализации мероприятий муниципальной программы разрабатывается План реализации мероприятий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мероприятий муниципальной программы составляется ежегодно на очередной год.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необходимо отражать наиболее значимые ключевые события, позволяющие на том или ином этапе реализации муниципальной программы (подпрограммы) оценить степень выполнения соответствующего мероприятия.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Требования к обоснованию объема финансовых ресурсов, необходимых для реализации мероприятий муниципальной программы (подпрограммы)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Информация о ресурсном обеспечении муниципальной программы должна исчерпывающим образом обосновывать источники и направления финансирования, а также методы, примененные для расчета затрат муниципальной программы.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Планируемый объем финансовых ресурсов на реализацию муниципальной программы включает в себя бюджетные ассигнования на реализацию программы (подпрограмм) за счет средств федерального бюджета, бюджета Ленинградской области, бюджета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внебюджетные источники.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объем финансовых ресурсов на реализацию муниципальной программы указывается по муниципальной программе в целом, по каждой подпрограмме муниципальной программы (при наличии подпрограмм) по годам реализации и мероприятиям муниципальной программы, в целых числах в тысячах рублей.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Планируемые объемы финансовых ресурсов на реализацию муниципальной программы указываются в текущих ценах соответствующего финансового года, в течение которых планируется реализовать муниципальную программу.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расходов на финансирование конкретного мероприятия, обеспечиваемого за счет средств бюджета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исходя из расчетов, обоснований и иных данных, представляемых субъектами бюджетного планирования в соответствии с муниципальными правовыми актами, регламентирующими порядок составления проекта бюджета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 «Муринское сельское поселение» Всеволожского муниципального района Ленинградской области 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Финансово-экономическое обоснование реализации мероприятий муниципальных программ определяется с учетом основных принципов формирования начальных (максимальных) цен, установленных требованиями федерального законодательства о контрактной системе в сфере закупок и иных гражданско-правовых договоров.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При расчете финансово-экономического обоснования необходимо указывать объемы товаров, работ и услуг, закупаемых для муниципальных нужд, а также их виды.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Проект муниципальной программы должен учитывать положения, обеспечивающие проведение мероприятий по размещению заказа на выполнение работ (оказание услуг), в соответствии с законодательство Российской Федерации и Ленинградской области.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В случае предоставления средств из федерального бюджета, бюджета Ленинградской  области на осуществление капитальных вложений в объекты государственной, муниципальной собственности, осуществлять планирование и закупки за счет указанных средств посредством единой автоматизированной системы управления закупками (ЕАСУЗ).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11.Ме</w:t>
      </w:r>
      <w:r w:rsidRPr="00AD7DC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тодика оценки эффективности реализации муниципальной программы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 Индекс результативности мероприятий (подпрограмм) определяется по формулам: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381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Iр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результативности мероприятий (подпрограмм);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2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показателей, направленных на увеличение целевых значений;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показателей, направленных на снижение целевых значений;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Rф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достигнутый результат целевого значения показателя;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Rп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результат целевого значения показателя;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Mп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N - общее число показателей, характеризующих выполнение мероприятий (подпрограммы).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 определяется по индексу эффективности.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13. Индекс эффективности мероприятий (подпрограмм) определяется по формуле: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Iэ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эффективности мероприятий (подпрограмм);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Vф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фактического совокупного финансирования мероприятий (подпрограммы);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Iр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результативности мероприятий (подпрограммы);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Vп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запланированного совокупного финансирования мероприятий (подпрограмм);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индикатора - индекс эффективности мероприятий (подпрограмм) (</w:t>
      </w:r>
      <w:proofErr w:type="spellStart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Iэ</w:t>
      </w:r>
      <w:proofErr w:type="spellEnd"/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диапазоны значений, характеризующие эффективность мероприятий (подпрограмм), перечислены ниже.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оценка мероприятий (подпрограмм): </w:t>
      </w: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эффективности</w:t>
      </w: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оценка мероприятий (подпрограмм): </w:t>
      </w: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запланированный уровень эффективности.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показателя:</w:t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CA" w:rsidRPr="00AD7DCA" w:rsidRDefault="00AD7DCA" w:rsidP="00AD7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оценка мероприятий (подпрограмм): </w:t>
      </w: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 эффективности.</w:t>
      </w:r>
    </w:p>
    <w:p w:rsidR="00AD7DCA" w:rsidRPr="00AD7DCA" w:rsidRDefault="00AD7DCA" w:rsidP="00AD7DC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№1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Методическим рекомендациям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разработке муниципальных программ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муниципальных программ</w:t>
      </w: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1</w:t>
      </w: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. Развитие физической культуры и спорта, формирование здорового образа жизни населения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Создание условий для развития физической культуры и спорта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Организация отдыха детей в каникулярное время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Организация работы с молодежью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iCs/>
          <w:sz w:val="24"/>
          <w:szCs w:val="24"/>
          <w:lang w:eastAsia="ru-RU"/>
        </w:rPr>
        <w:t>2</w:t>
      </w:r>
      <w:r w:rsidRPr="00AD7DCA">
        <w:rPr>
          <w:rFonts w:ascii="inherit" w:eastAsia="Times New Roman" w:hAnsi="inherit" w:cs="Arial"/>
          <w:iCs/>
          <w:sz w:val="24"/>
          <w:szCs w:val="24"/>
          <w:lang w:eastAsia="ru-RU"/>
        </w:rPr>
        <w:t xml:space="preserve">. </w:t>
      </w: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Развитие культуры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Организация досуга и предоставление услуг организаций культуры доступа к музейным фондам</w:t>
      </w:r>
    </w:p>
    <w:p w:rsidR="00AD7DCA" w:rsidRPr="00AD7DCA" w:rsidRDefault="00AD7DCA" w:rsidP="00AD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промыслов; народного художественного творчества</w:t>
      </w: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Модернизация материально-технической базы муниципальных учреждений культуры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b/>
          <w:sz w:val="24"/>
          <w:szCs w:val="24"/>
          <w:lang w:eastAsia="ru-RU"/>
        </w:rPr>
        <w:t>3</w:t>
      </w:r>
      <w:r w:rsidRPr="00AD7DCA">
        <w:rPr>
          <w:rFonts w:ascii="inherit" w:eastAsia="Times New Roman" w:hAnsi="inherit" w:cs="Arial"/>
          <w:b/>
          <w:sz w:val="24"/>
          <w:szCs w:val="24"/>
          <w:lang w:eastAsia="ru-RU"/>
        </w:rPr>
        <w:t>.Предпринимательство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Развитие малого и среднего предпринимательства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устойчивого экономического развития 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Работа с предприятиями и организациями (Совет директоров)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рынка.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4</w:t>
      </w: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. Безопасность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Профилактика преступлений и иных правонарушений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Видеонаблюдение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5</w:t>
      </w: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. Содержание и развитие </w:t>
      </w:r>
      <w:proofErr w:type="spellStart"/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жилищно</w:t>
      </w:r>
      <w:proofErr w:type="spellEnd"/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– коммунального хозяйства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iCs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iCs/>
          <w:sz w:val="24"/>
          <w:szCs w:val="24"/>
          <w:lang w:eastAsia="ru-RU"/>
        </w:rPr>
        <w:t>Благоустройство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iCs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iCs/>
          <w:sz w:val="24"/>
          <w:szCs w:val="24"/>
          <w:lang w:eastAsia="ru-RU"/>
        </w:rPr>
        <w:t>Освещение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Содержание, развитие коммунальной инфраструктуры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b/>
          <w:sz w:val="24"/>
          <w:szCs w:val="24"/>
          <w:lang w:eastAsia="ru-RU"/>
        </w:rPr>
        <w:t>6</w:t>
      </w:r>
      <w:r w:rsidRPr="00AD7DCA">
        <w:rPr>
          <w:rFonts w:ascii="inherit" w:eastAsia="Times New Roman" w:hAnsi="inherit" w:cs="Arial"/>
          <w:b/>
          <w:sz w:val="24"/>
          <w:szCs w:val="24"/>
          <w:lang w:eastAsia="ru-RU"/>
        </w:rPr>
        <w:t>. Развитие транспортной системы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Организация транспортного обслуживания населения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Содержание и ремонт дорог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Развитие транспортной инфраструктуры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Безопасность дорожного движения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Cs/>
          <w:i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i/>
          <w:sz w:val="24"/>
          <w:szCs w:val="24"/>
          <w:lang w:eastAsia="ru-RU"/>
        </w:rPr>
        <w:t>(возможно объединение муниципальных программ «</w:t>
      </w:r>
      <w:r w:rsidRPr="00AD7DCA">
        <w:rPr>
          <w:rFonts w:ascii="inherit" w:eastAsia="Times New Roman" w:hAnsi="inherit" w:cs="Arial"/>
          <w:bCs/>
          <w:i/>
          <w:sz w:val="24"/>
          <w:szCs w:val="24"/>
          <w:lang w:eastAsia="ru-RU"/>
        </w:rPr>
        <w:t xml:space="preserve">Содержание и развитие </w:t>
      </w:r>
      <w:proofErr w:type="spellStart"/>
      <w:r w:rsidRPr="00AD7DCA">
        <w:rPr>
          <w:rFonts w:ascii="inherit" w:eastAsia="Times New Roman" w:hAnsi="inherit" w:cs="Arial"/>
          <w:bCs/>
          <w:i/>
          <w:sz w:val="24"/>
          <w:szCs w:val="24"/>
          <w:lang w:eastAsia="ru-RU"/>
        </w:rPr>
        <w:t>жилищно</w:t>
      </w:r>
      <w:proofErr w:type="spellEnd"/>
      <w:r w:rsidRPr="00AD7DCA">
        <w:rPr>
          <w:rFonts w:ascii="inherit" w:eastAsia="Times New Roman" w:hAnsi="inherit" w:cs="Arial"/>
          <w:bCs/>
          <w:i/>
          <w:sz w:val="24"/>
          <w:szCs w:val="24"/>
          <w:lang w:eastAsia="ru-RU"/>
        </w:rPr>
        <w:t xml:space="preserve"> – коммунального хозяйства» и «</w:t>
      </w:r>
      <w:r w:rsidRPr="00AD7DCA">
        <w:rPr>
          <w:rFonts w:ascii="inherit" w:eastAsia="Times New Roman" w:hAnsi="inherit" w:cs="Arial"/>
          <w:i/>
          <w:sz w:val="24"/>
          <w:szCs w:val="24"/>
          <w:lang w:eastAsia="ru-RU"/>
        </w:rPr>
        <w:t>Развитие транспортной системы»)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Calibri" w:eastAsia="Times New Roman" w:hAnsi="Calibri" w:cs="Arial"/>
          <w:b/>
          <w:bCs/>
          <w:sz w:val="24"/>
          <w:szCs w:val="24"/>
          <w:lang w:eastAsia="ru-RU"/>
        </w:rPr>
        <w:t>7</w:t>
      </w: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.Энергосбережение и повышение энергетической эффективности</w:t>
      </w:r>
    </w:p>
    <w:p w:rsidR="00AD7DCA" w:rsidRPr="00AD7DCA" w:rsidRDefault="00AD7DCA" w:rsidP="00AD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10.</w:t>
      </w: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Жилище 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 граждан из многоквартирных жилых домов, признанных аварийными в установленном законодательством  порядке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 семей, имеющих семь и более детей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 помещений гражданам, стоящим в очереди на улучшение жилищных условий  в муниципальном образовании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11. </w:t>
      </w: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 и окружающая среда муниципального образования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12. Социальная защита населения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Доступная среда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Развитие системы отдыха и оздоровления детей</w:t>
      </w:r>
      <w:r w:rsidRPr="00AD7DCA">
        <w:rPr>
          <w:rFonts w:ascii="Calibri" w:eastAsia="Times New Roman" w:hAnsi="Calibri" w:cs="Arial"/>
          <w:sz w:val="24"/>
          <w:szCs w:val="24"/>
          <w:lang w:eastAsia="ru-RU"/>
        </w:rPr>
        <w:t>.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13. Муниципальное управление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муниципальной службы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муниципальными финансами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архивного дела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 и земельными ресурсами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inherit" w:eastAsia="Times New Roman" w:hAnsi="inherit" w:cs="Arial"/>
          <w:sz w:val="24"/>
          <w:szCs w:val="24"/>
          <w:lang w:eastAsia="ru-RU"/>
        </w:rPr>
      </w:pPr>
      <w:r w:rsidRPr="00AD7DCA">
        <w:rPr>
          <w:rFonts w:ascii="inherit" w:eastAsia="Times New Roman" w:hAnsi="inherit" w:cs="Arial"/>
          <w:sz w:val="24"/>
          <w:szCs w:val="24"/>
          <w:lang w:eastAsia="ru-RU"/>
        </w:rPr>
        <w:t>Территориальное развитие (градостроительство и землеустройство)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Обеспечение безопасности жизнедеятельности населения муниципального образования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и смягчение последствий чрезвычайных ситуаций природного и техногенного характера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систем оповещения и информирования населения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гражданской обороны</w:t>
      </w:r>
    </w:p>
    <w:p w:rsidR="00AD7DCA" w:rsidRPr="00AD7DCA" w:rsidRDefault="00AD7DCA" w:rsidP="00AD7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D7DCA" w:rsidRPr="00AD7DCA" w:rsidSect="001226A9">
          <w:pgSz w:w="11906" w:h="16838"/>
          <w:pgMar w:top="680" w:right="680" w:bottom="284" w:left="1134" w:header="709" w:footer="709" w:gutter="0"/>
          <w:cols w:space="708"/>
          <w:docGrid w:linePitch="360"/>
        </w:sect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2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Методическим рекомендациям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разработке муниципальных программ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Примерный перечень целевых показателей, подлежащих обязательному включению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муниципальные программы </w:t>
      </w:r>
      <w:r w:rsidRPr="00AD7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«Муринское сельское поселение» Всеволожского муниципального района Ленинградской области</w:t>
      </w:r>
    </w:p>
    <w:p w:rsidR="00AD7DCA" w:rsidRPr="00AD7DCA" w:rsidRDefault="00AD7DCA" w:rsidP="00AD7D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DC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(помимо целевых показателей, устанавливаемых администрацией Талдомского муниципального района)</w:t>
      </w: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013"/>
        <w:gridCol w:w="11624"/>
      </w:tblGrid>
      <w:tr w:rsidR="00AD7DCA" w:rsidRPr="00AD7DCA" w:rsidTr="00335B52">
        <w:trPr>
          <w:trHeight w:val="88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направление реализации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эффективности реализации муниципальных программ</w:t>
            </w:r>
          </w:p>
        </w:tc>
      </w:tr>
      <w:tr w:rsidR="00AD7DCA" w:rsidRPr="00AD7DCA" w:rsidTr="00335B52">
        <w:trPr>
          <w:trHeight w:val="3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спорта, формирование здорового образа жизни населения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физической культуры и спорта 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молодежи, процентов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лиц с ограниченными возможностями здоровья и инвалидов, систематически занимающихся физкультурой и спортом в общей численности данной категории населения, процентов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проведенных физкультурных и спортивных мероприятий, ед.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обеспеченности населения объектами спорта, %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 молодежью</w:t>
            </w:r>
          </w:p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1. Доля  молодых граждан, принимающих участие в деятельности общественных организаций и объединений,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2. Доля  молодых граждан, принимающих участие в добровольческой деятельности,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3. Доля молодых граждан, принимающих участие в мероприятиях по гражданско-патриотическому   воспитанию, %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 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Среднемесячная номинальная начисленная заработная плата работников муниципальных учреждений культуры и искусства, руб.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2.Соотношение средней заработной платы работников муниципальных учреждений культуры к средней заработной плате в Ленинградской области, %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досуга,  предоставление услуг </w:t>
            </w: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культуры и доступа к музейным фондам  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Уровень фактической обеспеченности учреждениями клубного типа от нормативной потребности,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количества выставочных проектов, % к предыдущему году;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Увеличение численности участников культурно-досуговых мероприятий, %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Предпринимательство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Темп роста количества субъектов малого и среднего предпринимательства, осуществляющих деятельность в сфере  обрабатывающих производств и технологических инноваций,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2. Количество объектов инфраструктуры поддержки субъектов малого и среднего предпринимательства в области инноваций и производства (нарастающим итогом), ед.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3. Доля оборота малых и средних предприятий в общем обороте по полному кругу предприятий в муниципальном образовании Муринское сельское поселение Всеволожского района Ленинградской области%       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4. Число созданных рабочих мест субъектами малого и среднего предпринимательства, получившими поддержку, ед.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textAlignment w:val="top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6. Доля среднесписочной численности работников (без внешних совместителей) субъектов малого и среднего предпринимательства 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7. Среднемесячная заработная плата работников малых и средних предприятиях в </w:t>
            </w:r>
            <w:proofErr w:type="spellStart"/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Ленинградскойц</w:t>
            </w:r>
            <w:proofErr w:type="spellEnd"/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области, руб.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потребительского рынка, включая кладбища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Доля розничных рынков и ярмарок в обороте розничной торговли,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2. Обеспеченность населения площадью торговых объектов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D7DC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Обеспеченность населения бытовыми услугами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Обеспеченность услугами общественного питания», посадочных мест на 1000 жителей;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развитие </w:t>
            </w: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жилищно-коммунального  хозяйства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развитие коммунальной </w:t>
            </w: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</w:t>
            </w:r>
          </w:p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Доля собственных инвестиций организаций в расходах от основного вида деятельности организаций </w:t>
            </w: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сектора водоснабжения, водоотведения, очистки сточных вод и теплоснабжения,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населения, обеспеченного доброкачественной питьевой водой,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Число аварий в системах тепло-, водоснабжения и водоотведения, ед.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Удельный вес потерь </w:t>
            </w:r>
            <w:proofErr w:type="spellStart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поданного в сеть тепла,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Удельный расход топлива на единицу </w:t>
            </w:r>
            <w:proofErr w:type="spellStart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тепла, </w:t>
            </w:r>
            <w:proofErr w:type="spellStart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 Количество обследованных существующих и вновь выявленных радиационных аномалий, ед.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Ввод в эксплуатацию автомобильных дорог общего пользования местного значения, км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Капитальный ремонт и ремонт автомобильных дорог общего пользования местного значения, км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Удельная величина потребления энергетических ресурсов  в многоквартирных домах:</w:t>
            </w:r>
          </w:p>
          <w:p w:rsidR="00AD7DCA" w:rsidRPr="00AD7DCA" w:rsidRDefault="00AD7DCA" w:rsidP="00AD7DCA">
            <w:pPr>
              <w:numPr>
                <w:ilvl w:val="0"/>
                <w:numId w:val="1"/>
              </w:num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 энергии, кВт/ч на 1 проживающего</w:t>
            </w:r>
          </w:p>
          <w:p w:rsidR="00AD7DCA" w:rsidRPr="00AD7DCA" w:rsidRDefault="00AD7DCA" w:rsidP="00AD7DCA">
            <w:pPr>
              <w:numPr>
                <w:ilvl w:val="0"/>
                <w:numId w:val="1"/>
              </w:num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энергии, Гкал на 1 кв. м общей площади</w:t>
            </w:r>
          </w:p>
          <w:p w:rsidR="00AD7DCA" w:rsidRPr="00AD7DCA" w:rsidRDefault="00AD7DCA" w:rsidP="00AD7DCA">
            <w:pPr>
              <w:numPr>
                <w:ilvl w:val="0"/>
                <w:numId w:val="1"/>
              </w:num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 воды, куб. м на 1 проживающего</w:t>
            </w:r>
          </w:p>
          <w:p w:rsidR="00AD7DCA" w:rsidRPr="00AD7DCA" w:rsidRDefault="00AD7DCA" w:rsidP="00AD7DCA">
            <w:pPr>
              <w:numPr>
                <w:ilvl w:val="0"/>
                <w:numId w:val="1"/>
              </w:num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воды, куб. м на 1 проживающего</w:t>
            </w:r>
          </w:p>
          <w:p w:rsidR="00AD7DCA" w:rsidRPr="00AD7DCA" w:rsidRDefault="00AD7DCA" w:rsidP="00AD7DCA">
            <w:pPr>
              <w:numPr>
                <w:ilvl w:val="0"/>
                <w:numId w:val="1"/>
              </w:num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газа, куб. м на 1 проживающего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Удельный расход энергетических ресурсов в организациях, финансируемых за счет средств бюджетов муниципальных образований, кг </w:t>
            </w:r>
            <w:proofErr w:type="spellStart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освоение земельных участков в целях жилищного строительства и развитие застроенных территорий (или Развитие жилищного  </w:t>
            </w: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в случае отсутствия в муниципальном образовании  микрорайонов жилой застройки за счет средств инвесторов).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Годовой объем ввода жилья, млн.кв.м.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Годовой объем ввода жилья экономического класса, млн.кв.м.</w:t>
            </w:r>
          </w:p>
          <w:p w:rsidR="00AD7DCA" w:rsidRPr="00AD7DCA" w:rsidRDefault="00AD7DCA" w:rsidP="00AD7DCA">
            <w:pPr>
              <w:tabs>
                <w:tab w:val="left" w:pos="945"/>
              </w:tabs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годового ввода жилья, соответствующего стандартам экономического класса, %.</w:t>
            </w:r>
          </w:p>
          <w:p w:rsidR="00AD7DCA" w:rsidRPr="00AD7DCA" w:rsidRDefault="00AD7DCA" w:rsidP="00AD7DCA">
            <w:pPr>
              <w:tabs>
                <w:tab w:val="left" w:pos="945"/>
              </w:tabs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годового ввода малоэтажного жилья, в том числе индивидуального жилищного строительства, %.</w:t>
            </w:r>
          </w:p>
          <w:p w:rsidR="00AD7DCA" w:rsidRPr="00AD7DCA" w:rsidRDefault="00AD7DCA" w:rsidP="00AD7DCA">
            <w:pPr>
              <w:tabs>
                <w:tab w:val="left" w:pos="945"/>
              </w:tabs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Уровень обеспеченности населения жильем, кв.м.</w:t>
            </w:r>
          </w:p>
          <w:p w:rsidR="00AD7DCA" w:rsidRPr="00AD7DCA" w:rsidRDefault="00AD7DCA" w:rsidP="00AD7DCA">
            <w:pPr>
              <w:tabs>
                <w:tab w:val="left" w:pos="945"/>
              </w:tabs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Коэффициент доступности жилья, год.</w:t>
            </w:r>
          </w:p>
          <w:p w:rsidR="00AD7DCA" w:rsidRPr="00AD7DCA" w:rsidRDefault="00AD7DCA" w:rsidP="00AD7DCA">
            <w:pPr>
              <w:tabs>
                <w:tab w:val="left" w:pos="945"/>
              </w:tabs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DCA" w:rsidRPr="00AD7DCA" w:rsidRDefault="00AD7DCA" w:rsidP="00AD7DCA">
            <w:pPr>
              <w:tabs>
                <w:tab w:val="left" w:pos="945"/>
              </w:tabs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жилых домов, признанных аварийными в установленном законодательством  порядке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граждан, 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переселенных из аварийного жилищного фонда, человек.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Площадь расселенных помещений, кв.м.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гражданам, стоящим в очереди на улучшение жилищных условий в муниципальном образовании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семей стоящих в очереди на улучшение жилищных условий, семьи.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семей, обеспеченных жилыми помещениями, к общему количеству семей, стоящих в очереди на улучшение жилищных условий в муниципальном образовании, %.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окружающая среда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ликвидированных несанкционированных свалок, в общем числе выявленных несанкционированных свалок (%).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водных объектов местного значения, на которых проведены работы по их очистке (единиц).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мероприятий по экологическому воспитанию и просвещению населения на территории муниципального образования (единиц).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4. Количество населения, принявшего участие  в экологических мероприятиях (тыс. человек).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защита населения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отдыха и оздоровления детей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муниципального образования, %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управление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Среднегодовая численность постоянного населения, тыс. человек;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Удовлетворенность населения деятельностью органов местного самоуправления, процент от числа опрошенных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муниципальной службы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рублей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 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Ежегодные прирост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да/нет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Отношение дефицита бюджета муниципального образования к доходам бюджета, рассчитанное  в соответствии с требованиями Бюджетного </w:t>
            </w:r>
            <w:hyperlink r:id="rId14" w:history="1">
              <w:r w:rsidRPr="00AD7D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кодекса</w:t>
              </w:r>
            </w:hyperlink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 Федерации,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Снижение долговой нагрузка на бюджет муниципального образования (отношение объема муниципального долга к годовому объему доходов бюджета муниципального образования без учета безвозмездных поступлений),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Уровень качества управления муниципальными по результатам мониторинга и оценки качества управления муниципальными финансами муниципального образования, баллов.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площади земельных участков, являющихся объектами налогообложения земельным налогом, в общей площади территории, %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площади земельных участков на территории, поставленных на государственный кадастровый учёт, в общей площади территории, процентов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Доля многоквартирных домов, расположенных на земельных участках, в отношении которых осуществлен государственный кадастровый учет, %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Территориальное развитие (градостроительство и землеустройство) 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 муниципальном образовании утвержденных документов территориального планирования муниципального образования, (да/нет);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в муниципальном образовании утвержденных документов градостроительного зонирования, (да/нет);</w:t>
            </w:r>
          </w:p>
          <w:p w:rsidR="00AD7DCA" w:rsidRPr="00AD7DCA" w:rsidRDefault="00AD7DCA" w:rsidP="00AD7DCA">
            <w:pPr>
              <w:spacing w:after="0" w:line="240" w:lineRule="auto"/>
              <w:ind w:left="-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в муниципальном образовании архитектурно-планировочных концепций по формированию привлекательного облика городов, создания и развития пешеходных зон и улиц, (да/нет)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D7D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административных барьеров и повышение качества и доступности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1. Доля граждан, имеющих доступ к получению государственных и муниципальных услуг по принципу «одного окна» по месту пребывания, в том числе в МФЦ, %;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Среднее число обращений представителей бизнес-сообщества в орган местного самоуправления для получения одной муниципальной (государственной) услуги, связанной со сферой предпринимательской деятельности, </w:t>
            </w:r>
            <w:proofErr w:type="spellStart"/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3. Среднее время ожидания в очереди при обращении заявителя в орган местного самоуправления для получения муниципальных (государственных) услуг, мин;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4. Степень удовлетворенности граждан качеством и доступностью муниципальных (государственных) услуг, предоставляемых непосредственно органами местного самоуправления, %;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D7D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рисков и смягчение последствий чрезвычайных ситуаций </w:t>
            </w: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 Увеличение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 относительно показателей 2014 года, в процентном соотношении, %;</w:t>
            </w:r>
          </w:p>
          <w:p w:rsidR="00AD7DCA" w:rsidRPr="00AD7DCA" w:rsidRDefault="00AD7DCA" w:rsidP="00AD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 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образования, %.</w:t>
            </w: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совершенствование систем оповещения и информирования населения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1. Охват населения муниципального образования централизованным оповещением и информированием, %;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7DCA" w:rsidRPr="00AD7DCA" w:rsidTr="00335B52">
        <w:trPr>
          <w:trHeight w:val="5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гражданской обороны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ind w:left="-2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DC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обеспеченности имуществом гражданской обороны по сравнению с нормами, %.</w:t>
            </w:r>
          </w:p>
        </w:tc>
      </w:tr>
    </w:tbl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Методическим рекомендациям 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10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разработке муниципальных программ </w:t>
      </w:r>
    </w:p>
    <w:p w:rsidR="00AD7DCA" w:rsidRPr="00AD7DCA" w:rsidRDefault="00AD7DCA" w:rsidP="00220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достижении значений показателей (индикаторов)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муниципальной программы)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334"/>
        <w:gridCol w:w="2120"/>
        <w:gridCol w:w="2170"/>
        <w:gridCol w:w="1554"/>
        <w:gridCol w:w="1554"/>
        <w:gridCol w:w="2682"/>
      </w:tblGrid>
      <w:tr w:rsidR="00AD7DCA" w:rsidRPr="00AD7DCA" w:rsidTr="00335B52">
        <w:tc>
          <w:tcPr>
            <w:tcW w:w="814" w:type="dxa"/>
            <w:vMerge w:val="restart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4" w:type="dxa"/>
            <w:vMerge w:val="restart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 результативности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78" w:type="dxa"/>
            <w:gridSpan w:val="3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периода 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AD7DCA" w:rsidRPr="00AD7DCA" w:rsidTr="00335B52">
        <w:tc>
          <w:tcPr>
            <w:tcW w:w="814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c>
          <w:tcPr>
            <w:tcW w:w="814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4" w:type="dxa"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82" w:type="dxa"/>
            <w:vMerge/>
            <w:shd w:val="clear" w:color="auto" w:fill="auto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c>
          <w:tcPr>
            <w:tcW w:w="81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7DCA" w:rsidRPr="00AD7DCA" w:rsidTr="00335B52">
        <w:trPr>
          <w:trHeight w:val="469"/>
        </w:trPr>
        <w:tc>
          <w:tcPr>
            <w:tcW w:w="81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33"/>
        </w:trPr>
        <w:tc>
          <w:tcPr>
            <w:tcW w:w="81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c>
          <w:tcPr>
            <w:tcW w:w="81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4" w:type="dxa"/>
            <w:gridSpan w:val="6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____________________________________________________________________ (наименование подпрограммы)</w:t>
            </w:r>
          </w:p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407"/>
        </w:trPr>
        <w:tc>
          <w:tcPr>
            <w:tcW w:w="81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DCA" w:rsidRPr="00AD7DCA" w:rsidTr="00335B52">
        <w:trPr>
          <w:trHeight w:val="527"/>
        </w:trPr>
        <w:tc>
          <w:tcPr>
            <w:tcW w:w="81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AD7DCA" w:rsidRPr="00AD7DCA" w:rsidRDefault="00AD7DCA" w:rsidP="00AD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 _______________________________________ (Ф.И.О.)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</w:p>
    <w:p w:rsidR="00AD7DCA" w:rsidRPr="00AD7DCA" w:rsidRDefault="00AD7DCA" w:rsidP="00AD7DC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A" w:rsidRPr="00AD7DCA" w:rsidRDefault="00AD7DCA" w:rsidP="00A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E6" w:rsidRDefault="00EC01E6"/>
    <w:sectPr w:rsidR="00EC01E6" w:rsidSect="00575CF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67EA2"/>
    <w:multiLevelType w:val="hybridMultilevel"/>
    <w:tmpl w:val="ADA4E7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DCA"/>
    <w:rsid w:val="0022095A"/>
    <w:rsid w:val="002C15BB"/>
    <w:rsid w:val="00374B12"/>
    <w:rsid w:val="00517095"/>
    <w:rsid w:val="005374F1"/>
    <w:rsid w:val="00AD7DCA"/>
    <w:rsid w:val="00B83E4D"/>
    <w:rsid w:val="00CB67EC"/>
    <w:rsid w:val="00D46F85"/>
    <w:rsid w:val="00EC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80D3-B137-47C1-8D53-652002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consultantplus://offline/ref=07C42626C9842D5ADD3767619C269A78C755206229999A305D8B6D83D2IEg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7280</Words>
  <Characters>41497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 Виноградский</cp:lastModifiedBy>
  <cp:revision>4</cp:revision>
  <dcterms:created xsi:type="dcterms:W3CDTF">2014-10-29T06:34:00Z</dcterms:created>
  <dcterms:modified xsi:type="dcterms:W3CDTF">2015-01-29T05:55:00Z</dcterms:modified>
</cp:coreProperties>
</file>